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931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70"/>
        <w:gridCol w:w="2835"/>
        <w:gridCol w:w="6526"/>
      </w:tblGrid>
      <w:tr>
        <w:trPr>
          <w:trHeight w:val="340" w:hRule="atLeast"/>
          <w:cantSplit w:val="true"/>
        </w:trPr>
        <w:tc>
          <w:tcPr>
            <w:tcW w:w="9931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adpis8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sz w:val="18"/>
                <w:szCs w:val="18"/>
                <w:lang w:val="cs-CZ"/>
              </w:rPr>
              <w:t>ODDÍL 1: Identifikace látky/směsi a společnosti/podniku</w:t>
            </w:r>
          </w:p>
        </w:tc>
      </w:tr>
      <w:tr>
        <w:trPr>
          <w:trHeight w:val="27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1.1</w:t>
            </w:r>
          </w:p>
        </w:tc>
        <w:tc>
          <w:tcPr>
            <w:tcW w:w="93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Identifikátor výrobku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Název: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Relx Ultra Pod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Strawberry Raspberry Cherry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Relx Ultra Pro KIT Golden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Relx Ultra KIT Grey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Látka/směs: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UFI: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Calibri" w:hAnsi="Calibri" w:cs="Calibri"/>
                <w:color w:val="000000"/>
                <w:sz w:val="22"/>
                <w:szCs w:val="22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YGM0-Q06H-200A-YNEP</w:t>
            </w:r>
          </w:p>
        </w:tc>
      </w:tr>
      <w:tr>
        <w:trPr>
          <w:trHeight w:val="282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Další názvy směsi: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highlight w:val="yellow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Jahoda Malina Trešeň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1.2</w:t>
            </w:r>
          </w:p>
        </w:tc>
        <w:tc>
          <w:tcPr>
            <w:tcW w:w="9361" w:type="dxa"/>
            <w:gridSpan w:val="2"/>
            <w:tcBorders/>
            <w:vAlign w:val="center"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Příslušná určená použití látky nebo směsi a nedoporučená použití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Určená použití: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0" w:name="_Hlk152328360"/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  <w:bookmarkEnd w:id="0"/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Nedoporučená použití: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nesmí být používán jinými způsoby, než které jsou uvedeny v oddíle 1.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1.3</w:t>
            </w:r>
          </w:p>
        </w:tc>
        <w:tc>
          <w:tcPr>
            <w:tcW w:w="936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Podrobné údaje o dodavateli bezpečnostního listu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MolecularFormula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Dodavatel: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4ages, s.r.o.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Místo podnikání nebo sídlo: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Chodská 1181/7, Vinohrady, 120 00 Praha, Česká republika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Telefon: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+420 224 941 131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83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Odborně způsobilá osoba:</w:t>
            </w:r>
          </w:p>
        </w:tc>
        <w:tc>
          <w:tcPr>
            <w:tcW w:w="65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hyperlink r:id="rId2">
              <w:r>
                <w:rPr>
                  <w:rStyle w:val="Internetovodkaz"/>
                  <w:rFonts w:ascii="Verdana" w:hAnsi="Verdana"/>
                  <w:sz w:val="16"/>
                  <w:szCs w:val="16"/>
                  <w:lang w:val="cs-CZ"/>
                </w:rPr>
                <w:t>info@4ages.cz</w:t>
              </w:r>
            </w:hyperlink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1.4</w:t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Telefonní číslo pro naléhavé situace</w:t>
            </w:r>
          </w:p>
        </w:tc>
      </w:tr>
      <w:tr>
        <w:trPr>
          <w:trHeight w:val="287" w:hRule="atLeast"/>
          <w:cantSplit w:val="true"/>
        </w:trPr>
        <w:tc>
          <w:tcPr>
            <w:tcW w:w="570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Toxikologické informační středisko</w:t>
            </w: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, 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>Na Bojišti 1, Praha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132" w:leader="none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(nepřetržitě)</w:t>
              <w:tab/>
              <w:t>+420-224919293</w:t>
            </w:r>
          </w:p>
          <w:p>
            <w:pPr>
              <w:pStyle w:val="MolecularFormula"/>
              <w:widowControl w:val="false"/>
              <w:tabs>
                <w:tab w:val="clear" w:pos="709"/>
                <w:tab w:val="left" w:pos="1132" w:leader="none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>+420-224915402</w:t>
            </w:r>
          </w:p>
          <w:p>
            <w:pPr>
              <w:pStyle w:val="MolecularFormula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Informace pouze pro zdravotní rizika – akutní otravy lidí a zvířat.</w:t>
            </w:r>
          </w:p>
        </w:tc>
      </w:tr>
    </w:tbl>
    <w:p>
      <w:pPr>
        <w:pStyle w:val="MolecularFormula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7"/>
        <w:gridCol w:w="2795"/>
        <w:gridCol w:w="6568"/>
      </w:tblGrid>
      <w:tr>
        <w:trPr>
          <w:trHeight w:val="340" w:hRule="atLeast"/>
          <w:cantSplit w:val="true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2: Identifikace nebezpečnosti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Celková klasifikace směsi:</w:t>
            </w:r>
          </w:p>
        </w:tc>
        <w:tc>
          <w:tcPr>
            <w:tcW w:w="6568" w:type="dxa"/>
            <w:tcBorders/>
            <w:tcMar>
              <w:left w:w="85" w:type="dxa"/>
              <w:right w:w="85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Směs </w:t>
            </w: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je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klasifikována jako nebezpečná.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2.1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Klasifikace látky nebo směsi</w:t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(Plný text všech klasifikací a standardních vět o nebezpečnosti je uveden v oddílu 16.)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Klasifikace dle nařízení (ES) 1272/2008: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4; H302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Eye Dam. 1; H318</w:t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2.2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Prvky označení</w:t>
            </w:r>
          </w:p>
        </w:tc>
      </w:tr>
      <w:tr>
        <w:trPr>
          <w:trHeight w:val="1183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Výstražný symbol nebezpečnosti: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720" w:leader="none"/>
                <w:tab w:val="center" w:pos="2865" w:leader="none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57225" cy="657225"/>
                  <wp:effectExtent l="0" t="0" r="0" b="0"/>
                  <wp:docPr id="1" name="&lt;#imgghs0;&lt;#imgdelete&gt;&gt;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&lt;#imgghs0;&lt;#imgdelete&gt;&gt;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/>
              <w:drawing>
                <wp:inline distT="0" distB="0" distL="0" distR="0">
                  <wp:extent cx="652145" cy="664210"/>
                  <wp:effectExtent l="0" t="0" r="0" b="0"/>
                  <wp:docPr id="2" name="Obrázek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Signální slovo: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NEBEZPEČÍ</w:t>
            </w:r>
          </w:p>
        </w:tc>
      </w:tr>
      <w:tr>
        <w:trPr>
          <w:trHeight w:val="8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Standardní věty o nebezpečnosti:</w:t>
            </w:r>
          </w:p>
        </w:tc>
        <w:tc>
          <w:tcPr>
            <w:tcW w:w="6568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</w:r>
          </w:p>
        </w:tc>
      </w:tr>
      <w:tr>
        <w:trPr>
          <w:trHeight w:val="8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Pokyny pro bezpečné zacházení:</w:t>
            </w:r>
          </w:p>
        </w:tc>
        <w:tc>
          <w:tcPr>
            <w:tcW w:w="6568" w:type="dxa"/>
            <w:tcBorders/>
          </w:tcPr>
          <w:p>
            <w:pPr>
              <w:pStyle w:val="Normal"/>
              <w:widowControl w:val="false"/>
              <w:ind w:left="1134" w:hanging="1134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P102 Uchovávejte mimo dosah dětí.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P305+P351+P338 PŘI ZASAŽENÍ OČÍ: Několik minut opatrně vyplachujte vodou. Vyjměte kontaktní čočky, jsou-li nasazeny a pokud je lze vyjmout snadno. Pokračujte ve vyplachování.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P310 Okamžitě volejte lékaře.</w:t>
            </w:r>
          </w:p>
          <w:p>
            <w:pPr>
              <w:pStyle w:val="Normal"/>
              <w:widowControl w:val="false"/>
              <w:ind w:left="567" w:hanging="567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P501 Odstraňte obsah/obal předáním oprávněné osobě</w:t>
            </w:r>
          </w:p>
        </w:tc>
      </w:tr>
      <w:tr>
        <w:trPr>
          <w:trHeight w:val="13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0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Obsah nebezpečných látek uvedených na obalu:</w:t>
            </w:r>
          </w:p>
        </w:tc>
        <w:tc>
          <w:tcPr>
            <w:tcW w:w="6568" w:type="dxa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2-isopropyl-N,2,3-trimethylbutyramid; nikotin (ISO); Allyl-hexanoát</w:t>
            </w:r>
          </w:p>
        </w:tc>
      </w:tr>
      <w:tr>
        <w:trPr>
          <w:trHeight w:val="79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EUH208 Obsahuje Kyselina 4-oxovalerová, Benzylalkohol, (R)-p-mentha-1,8-dien, Methyl-cinnamát, Linalool, 4-hydroxy-2,5-dimethylfuran-2(3H)-on. Může vyvolat alergickou reakci.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highlight w:val="cyan"/>
                <w:lang w:val="cs-CZ"/>
              </w:rPr>
            </w:r>
          </w:p>
        </w:tc>
      </w:tr>
      <w:tr>
        <w:trPr>
          <w:trHeight w:val="128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2.3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nebezpečnost</w:t>
            </w:r>
          </w:p>
        </w:tc>
      </w:tr>
      <w:tr>
        <w:trPr>
          <w:trHeight w:val="63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 xml:space="preserve">Tento produkt neobsahuje SVHC látku v koncentraci 0,1% hmotnostních nebo vyšší. </w:t>
            </w:r>
          </w:p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>Tento produkt neobsahuje endokrinní disruptory v koncentraci 0,1% hmotnostních nebo vyšší.</w:t>
            </w:r>
          </w:p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>Tento produkt neobsahuje žádné látky, které jsou vyhodnoceny jako PMT/vPvM v koncentraci 0,1 % hmotnostních nebo vyšší.</w:t>
              <w:tab/>
            </w:r>
          </w:p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</w:rPr>
            </w:pPr>
            <w:r>
              <w:rPr>
                <w:rFonts w:cs="Calibri" w:ascii="Verdana" w:hAnsi="Verdana" w:cstheme="minorHAnsi"/>
                <w:sz w:val="16"/>
                <w:szCs w:val="16"/>
              </w:rPr>
              <w:t>Tento produkt neobsahuje žádné látky, které jsou vyhodnoceny jako PBT/vPvB v koncentraci 0,1 % hmotnostních nebo vyšší.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40" w:hRule="atLeast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3: Složení/informace o složkách</w:t>
            </w:r>
          </w:p>
        </w:tc>
      </w:tr>
      <w:tr>
        <w:trPr>
          <w:trHeight w:val="270" w:hRule="atLeast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3.2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Směsi</w:t>
            </w:r>
          </w:p>
          <w:p>
            <w:pPr>
              <w:pStyle w:val="Normal"/>
              <w:widowControl w:val="false"/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Směs níže uvedených látek a příměsí.</w:t>
            </w:r>
          </w:p>
        </w:tc>
      </w:tr>
      <w:tr>
        <w:trPr>
          <w:trHeight w:val="1701" w:hRule="atLeast"/>
        </w:trPr>
        <w:tc>
          <w:tcPr>
            <w:tcW w:w="9930" w:type="dxa"/>
            <w:gridSpan w:val="3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  <w:tbl>
            <w:tblPr>
              <w:tblW w:w="9828" w:type="dxa"/>
              <w:jc w:val="left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  <w:tblLook w:firstRow="1" w:noVBand="1" w:lastRow="0" w:firstColumn="1" w:lastColumn="0" w:noHBand="0" w:val="04a0"/>
            </w:tblPr>
            <w:tblGrid>
              <w:gridCol w:w="3874"/>
              <w:gridCol w:w="989"/>
              <w:gridCol w:w="1421"/>
              <w:gridCol w:w="2122"/>
              <w:gridCol w:w="1422"/>
            </w:tblGrid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Název složky</w:t>
                  </w:r>
                </w:p>
              </w:tc>
              <w:tc>
                <w:tcPr>
                  <w:tcW w:w="9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Obsah (hm.%)</w:t>
                  </w:r>
                </w:p>
              </w:tc>
              <w:tc>
                <w:tcPr>
                  <w:tcW w:w="1421" w:type="dxa"/>
                  <w:tcBorders>
                    <w:top w:val="single" w:sz="4" w:space="0" w:color="000000"/>
                    <w:bottom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CAS</w:t>
                    <w:br/>
                    <w:t>EINECS</w:t>
                    <w:br/>
                    <w:t>Index N°</w:t>
                  </w:r>
                </w:p>
              </w:tc>
              <w:tc>
                <w:tcPr>
                  <w:tcW w:w="354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D9D9D9" w:themeFill="background1" w:themeFillShade="d9" w:val="clear"/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 xml:space="preserve">Klasifikace dle nařízení (ES) </w:t>
                  </w:r>
                </w:p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b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b/>
                      <w:bCs/>
                      <w:color w:val="000000"/>
                      <w:sz w:val="16"/>
                      <w:szCs w:val="16"/>
                      <w:lang w:val="cs-CZ"/>
                    </w:rPr>
                    <w:t>č. 1272/2008 (CLP)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bookmarkStart w:id="1" w:name="RANGE!C93%25253AJ93"/>
                  <w:r>
                    <w:rPr>
                      <w:rFonts w:cs="Calibri" w:ascii="Verdana" w:hAnsi="Verdana"/>
                      <w:sz w:val="16"/>
                      <w:szCs w:val="16"/>
                    </w:rPr>
                    <w:t>Propan-1,2-diol</w:t>
                  </w:r>
                  <w:bookmarkEnd w:id="1"/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52,3218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57-55-6</w:t>
                    <w:br/>
                    <w:t>200-338-0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Glycerol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56-81-5</w:t>
                    <w:br/>
                    <w:t>200-289-5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2-isopropyl-N,2,3-trimethylbutyramid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2,0432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51115-67-4</w:t>
                    <w:br/>
                    <w:t>256-974-4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H302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nikotin (ISO) *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1,55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54-11-5</w:t>
                    <w:br/>
                    <w:t>200-193-3</w:t>
                    <w:br/>
                    <w:t>614-001-00-4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oral</w:t>
                    <w:br/>
                    <w:t>5 mg/kg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dermal</w:t>
                    <w:br/>
                    <w:t>70 mg/kg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inhal(d)</w:t>
                    <w:br/>
                    <w:t>0.19 mg/L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Aquatic Chronic 2</w:t>
                    <w:br/>
                    <w:t>Eye Dam. 1</w:t>
                    <w:br/>
                    <w:t>Skin Irrit. 2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H300/310/330</w:t>
                    <w:br/>
                    <w:br/>
                    <w:br/>
                    <w:br/>
                    <w:br/>
                    <w:br/>
                    <w:br/>
                    <w:t>H411</w:t>
                    <w:br/>
                    <w:t>H318</w:t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Kyselina 4-oxovalerová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0,8846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123-76-2</w:t>
                    <w:br/>
                    <w:t>204-649-2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  <w:br/>
                    <w:t>Eye Dam. 1</w:t>
                    <w:br/>
                    <w:t>Skin Sens. 1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H302</w:t>
                    <w:br/>
                    <w:t>H318</w:t>
                    <w:br/>
                    <w:t>H317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Benzoová kyselina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0,8536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65-85-0</w:t>
                    <w:br/>
                    <w:t>200-618-2</w:t>
                    <w:br/>
                    <w:t>607-705-00-8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Dam. 1</w:t>
                    <w:br/>
                    <w:t>STOT RE 1</w:t>
                    <w:br/>
                    <w:t>Skin Irrit. 2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H318</w:t>
                    <w:br/>
                    <w:t>H372</w:t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Benzylalkohol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0,576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100-51-6</w:t>
                    <w:br/>
                    <w:t>202-859-9</w:t>
                    <w:br/>
                    <w:t>603-057-00-5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ATE oral</w:t>
                    <w:br/>
                    <w:t>1200 mg/kg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Eye Irrit. 2</w:t>
                    <w:br/>
                    <w:t>Skin Sens. 1B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H302</w:t>
                    <w:br/>
                    <w:br/>
                    <w:br/>
                    <w:t>H319</w:t>
                    <w:br/>
                    <w:t>H317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Ethyl butyrát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0,4602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105-54-4</w:t>
                    <w:br/>
                    <w:t>203-306-4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Flam. Liq.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Cis-hex-3-en-1-ol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0,4188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928-96-1</w:t>
                    <w:br/>
                    <w:t>213-192-8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Flam. Liq.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2-ethyl-3-hydroxy-4-pyron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0,3757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4940-11-8</w:t>
                    <w:br/>
                    <w:t>225-582-5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4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H302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Kyselina octová *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0,2617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64-19-7</w:t>
                    <w:br/>
                    <w:t>200-580-7</w:t>
                    <w:br/>
                    <w:t>607-002-00-6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Flam. Liq. 3</w:t>
                    <w:br/>
                    <w:t>Skin Corr. 1A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C ≥ 90%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Corr. 1B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25% ≤ C &lt; 90%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Poznámka B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br/>
                    <w:t>H226</w:t>
                    <w:br/>
                    <w:t>H314</w:t>
                    <w:br/>
                    <w:br/>
                    <w:t>H314</w:t>
                    <w:br/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Dekan-4-olid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0,2526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706-14-9</w:t>
                    <w:br/>
                    <w:t>211-892-8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 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Ethyl-(2-methylbutyrát)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0,2241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7452-79-1</w:t>
                    <w:br/>
                    <w:t>231-225-4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Ethyl-hexanoát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0,2085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123-66-0</w:t>
                    <w:br/>
                    <w:t>204-640-3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  <w:br/>
                    <w:t>Skin Irrit. 2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  <w:br/>
                    <w:t>H315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(Z)-hex-3-enyl-acetát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0,1478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3681-71-8</w:t>
                    <w:br/>
                    <w:t>222-960-1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Hexyl-acetát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0,1476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142-92-7</w:t>
                    <w:br/>
                    <w:t>205-572-7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(R)-p-mentha-1,8-dien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0,1288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5989-27-5</w:t>
                    <w:br/>
                    <w:t>227-813-5</w:t>
                    <w:br/>
                    <w:t>601-096-00-2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Aquatic Acute 1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M-factor: 1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Aquatic Chronic 3</w:t>
                    <w:br/>
                    <w:t>Asp. Tox. 1</w:t>
                    <w:br/>
                    <w:t>Flam. Liq. 3</w:t>
                    <w:br/>
                    <w:t>Skin Irrit. 2</w:t>
                    <w:br/>
                    <w:t>Skin Sens. 1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Poznámka C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H400</w:t>
                    <w:br/>
                    <w:br/>
                    <w:t>H412</w:t>
                    <w:br/>
                    <w:t>H304</w:t>
                    <w:br/>
                    <w:t>H226</w:t>
                    <w:br/>
                    <w:t>H315</w:t>
                    <w:br/>
                    <w:t>H317</w:t>
                  </w:r>
                </w:p>
              </w:tc>
            </w:tr>
            <w:tr>
              <w:trPr>
                <w:trHeight w:val="488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Ethyl-isovalerát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0,1201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108-64-5</w:t>
                    <w:br/>
                    <w:t>203-602-3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  <w:br/>
                    <w:t>Skin Irrit. 2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  <w:br/>
                    <w:t>H315</w:t>
                  </w:r>
                </w:p>
              </w:tc>
            </w:tr>
            <w:tr>
              <w:trPr>
                <w:trHeight w:val="41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Methyl-cinnamát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0,1198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103-26-4</w:t>
                    <w:br/>
                    <w:t>203-093-8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Skin Sens. 1B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H317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Allyl-hexanoát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0,1091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123-68-2</w:t>
                    <w:br/>
                    <w:t>204-642-4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Acute Tox. 3</w:t>
                    <w:br/>
                    <w:t>Aquatic Acute 1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M-factor: 1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Aquatic Chronic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H301/311/331</w:t>
                    <w:br/>
                    <w:t>H400</w:t>
                    <w:br/>
                    <w:br/>
                    <w:t>H412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Linalool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0,1086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78-70-6</w:t>
                    <w:br/>
                    <w:br/>
                    <w:t>603-235-00-2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Skin Irrit. 2</w:t>
                    <w:br/>
                    <w:t>Skin Sens. 1B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H315</w:t>
                    <w:br/>
                    <w:t>H317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isopentyl-acetát *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0,0765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123-92-2</w:t>
                    <w:br/>
                    <w:t>204-662-3</w:t>
                    <w:br/>
                    <w:t>607-130-00-2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Flam. Liq. 3</w:t>
                    <w:br/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Poznámka C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H226</w:t>
                    <w:br/>
                    <w:t>EUH066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ethyl-acetát *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0,0539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141-78-6</w:t>
                    <w:br/>
                    <w:t>205-500-4</w:t>
                    <w:br/>
                    <w:t>607-022-00-5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Flam. Liq. 2</w:t>
                    <w:br/>
                    <w:t>STOT SE 3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H225</w:t>
                    <w:br/>
                    <w:t>H336</w:t>
                    <w:br/>
                    <w:t>EUH066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4-hydroxy-2,5-dimethylfuran-2(3H)-on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0,0518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3658-77-3</w:t>
                    <w:br/>
                    <w:t>222-908-8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  <w:t>Skin Sens. 1A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t>H317</w:t>
                  </w:r>
                </w:p>
              </w:tc>
            </w:tr>
            <w:tr>
              <w:trPr>
                <w:trHeight w:val="20" w:hRule="atLeast"/>
                <w:cantSplit w:val="true"/>
              </w:trPr>
              <w:tc>
                <w:tcPr>
                  <w:tcW w:w="387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Kyselina propionová *</w:t>
                  </w:r>
                </w:p>
              </w:tc>
              <w:tc>
                <w:tcPr>
                  <w:tcW w:w="989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jc w:val="center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0,0045</w:t>
                  </w:r>
                </w:p>
              </w:tc>
              <w:tc>
                <w:tcPr>
                  <w:tcW w:w="1421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79-09-4</w:t>
                    <w:br/>
                    <w:t>201-176-3</w:t>
                    <w:br/>
                    <w:t>607-089-00-0</w:t>
                  </w:r>
                </w:p>
              </w:tc>
              <w:tc>
                <w:tcPr>
                  <w:tcW w:w="212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Eye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STOT SE 3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C ≥ 10%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Corr. 1B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C ≥ 25%</w:t>
                  </w:r>
                  <w:r>
                    <w:rPr>
                      <w:rFonts w:cs="Calibri" w:ascii="Verdana" w:hAnsi="Verdana"/>
                      <w:sz w:val="16"/>
                      <w:szCs w:val="16"/>
                    </w:rPr>
                    <w:br/>
                    <w:t>Skin Irrit. 2</w:t>
                    <w:br/>
                  </w:r>
                  <w:r>
                    <w:rPr>
                      <w:rFonts w:cs="Calibri" w:ascii="Verdana" w:hAnsi="Verdana"/>
                      <w:i/>
                      <w:iCs/>
                      <w:sz w:val="16"/>
                      <w:szCs w:val="16"/>
                    </w:rPr>
                    <w:t>SCL: 10% ≤ C &lt; 25%</w:t>
                  </w:r>
                </w:p>
              </w:tc>
              <w:tc>
                <w:tcPr>
                  <w:tcW w:w="1422" w:type="dxa"/>
                  <w:tcBorders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/>
                      <w:sz w:val="16"/>
                      <w:szCs w:val="16"/>
                    </w:rPr>
                  </w:pPr>
                  <w:r>
                    <w:rPr>
                      <w:rFonts w:cs="Calibri" w:ascii="Verdana" w:hAnsi="Verdana"/>
                      <w:sz w:val="16"/>
                      <w:szCs w:val="16"/>
                    </w:rPr>
                    <w:t>H319</w:t>
                    <w:br/>
                    <w:br/>
                    <w:t>H335</w:t>
                    <w:br/>
                    <w:br/>
                    <w:t>H314</w:t>
                    <w:br/>
                    <w:br/>
                    <w:t>H315</w:t>
                  </w:r>
                </w:p>
              </w:tc>
            </w:tr>
            <w:tr>
              <w:trPr>
                <w:trHeight w:val="276" w:hRule="atLeast"/>
                <w:cantSplit w:val="true"/>
              </w:trPr>
              <w:tc>
                <w:tcPr>
                  <w:tcW w:w="9828" w:type="dxa"/>
                  <w:gridSpan w:val="5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widowControl w:val="false"/>
                    <w:rPr>
                      <w:rFonts w:ascii="Verdana" w:hAnsi="Verdana" w:cs="Calibri" w:cstheme="minorHAnsi"/>
                      <w:i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bookmarkStart w:id="2" w:name="_Hlk129081383"/>
                  <w:r>
                    <w:rPr>
                      <w:rFonts w:cs="Calibri"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* Látka, pro kterou je stanoven expoziční limit Společenství pro pracovní prostředí.</w:t>
                  </w:r>
                  <w:bookmarkEnd w:id="2"/>
                </w:p>
                <w:p>
                  <w:pPr>
                    <w:pStyle w:val="Normal"/>
                    <w:widowControl w:val="false"/>
                    <w:jc w:val="both"/>
                    <w:rPr>
                      <w:rFonts w:ascii="Verdana" w:hAnsi="Verdana" w:cs="Calibri" w:cstheme="minorHAnsi"/>
                      <w:i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B: Některé látky (kyseliny, zásady, atd.) jsou uváděny na trh ve vodných roztocích o různé koncentraci, a proto tyto roztoky vyžadují odlišnou klasifikaci a označení, protože nebezpečnost je pro jednotlivé koncentrace různá. V části 3 mají položky s poznámkou B obecné označení tohoto typu: "kyselina dusičná...%". V tomto případě musí dodavatel uvést koncentraci roztoku vyjádřenou v procentech na etiketě. Pokud není uvedeno jinak, předpokládá se, že koncentrace je vypočtena na základě hmotnosti.</w:t>
                  </w:r>
                </w:p>
                <w:p>
                  <w:pPr>
                    <w:pStyle w:val="Normal"/>
                    <w:widowControl w:val="false"/>
                    <w:rPr>
                      <w:rFonts w:ascii="Verdana" w:hAnsi="Verdana" w:cs="Calibri" w:cstheme="minorHAnsi"/>
                      <w:i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</w:pPr>
                  <w:r>
                    <w:rPr>
                      <w:rFonts w:cs="Calibri" w:ascii="Verdana" w:hAnsi="Verdana" w:cstheme="minorHAnsi"/>
                      <w:i/>
                      <w:iCs/>
                      <w:color w:val="000000"/>
                      <w:sz w:val="16"/>
                      <w:szCs w:val="16"/>
                      <w:lang w:val="cs-CZ"/>
                    </w:rPr>
                    <w:t>Poznámka C: Některé organické látky mohou být uvedeny na trh buď v určité isomerní formě, nebo jako směs několika isomerů. V tomto případě musí dodavatel uvést na štítku, zda je látka konkrétní izomer nebo směs izomerů.</w:t>
                  </w:r>
                </w:p>
              </w:tc>
            </w:tr>
          </w:tbl>
          <w:p>
            <w:pPr>
              <w:pStyle w:val="Normal"/>
              <w:widowControl w:val="false"/>
              <w:spacing w:before="20" w:after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Plný text všech klasifikací a standardních vět o nebezpečnosti je uveden v oddílu 16.</w:t>
            </w:r>
          </w:p>
        </w:tc>
      </w:tr>
      <w:tr>
        <w:trPr>
          <w:trHeight w:val="340" w:hRule="atLeast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4: Pokyny pro první pomoc</w:t>
            </w:r>
          </w:p>
        </w:tc>
      </w:tr>
      <w:tr>
        <w:trPr>
          <w:trHeight w:val="153" w:hRule="atLeast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4.1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Popis první pomoci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Projeví-li se zdravotní potíže nebo v případě pochybností, uvědomte lékaře a poskytněte mu informace z tohoto Bezpečnostního listu. Při bezvědomí umístěte postiženého do stabilizované polohy na boku s mírně zakloněnou hlavou a dbejte o průchodnost dýchacích cest, nikdy nevyvolávejte zvracení. Zvrací-li postižený sám, dbejte, aby nedošlo k vdechnutí zvratků. Při stavech ohrožujících život nejdříve provádějte resuscitaci postiženého a zajistěte lékařskou pomoc. Zástava dechu - okamžitě provádějte umělé dýchání. Zástava srdce - okamžitě provádějte nepřímou masáž srdce.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 xml:space="preserve">Při vdechnutí: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Okamžitě přerušte expozici, dopravte postiženého na čerstvý vzduch (pozor na kontaminovaný oděv). Zajistěte postiženého proti prochladnutí. Podle situace volejte záchrannou službu a zajistěte lékařské ošetření.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 kůží: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Odložte potřísněný oděv. Omyjte postižené místo velkým množstvím pokud možno vlažné vody. Pokud nedošlo k poranění pokožky, je vhodné použít i mýdlo, mýdlový roztok nebo šampon. Podle situace volejte záchrannou službu a zajistěte lékařské ošetření.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Ihned vyplachujte oči proudem tekoucí vody, rozevřete oční víčka (třeba i násilím); pokud má postižený kontaktní čočky, opatrně je vyjměte. Výplach provádějte nejméně 10 minut. Volejte záchrannou službu.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Ujistěte se, že postižený má průchodné dýchací cesty. Nevyvolávejte zvracení (postižený však může zvracet spontánně). Je-li postižený při vědomí a má-li průchozí dýchací cesty, může mu být podáno aktivní uhlí ve formě suspenze (přibližně 30 g uhlí ve 240 ml vody). Při těžší otravě vyhledat lékařskou pomoc.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/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4.2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Nejdůležitější akutní a opožděné symptomy a účinky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vdechnutí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Možné podráždění dýchacích cest, kašel, bolesti hlavy.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styku s kůží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Bolestivé zarudnutí, podráždění. Může vyvolat alergické reakce.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zasažení očí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obsahuje dráždivé složky pro oči, může způsobit podráždění, zčervenání, slzení při kontaktu s očima.</w:t>
            </w:r>
          </w:p>
        </w:tc>
      </w:tr>
      <w:tr>
        <w:trPr/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spacing w:before="60" w:after="0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Při požití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Podráždění, nevolnost. V případě velkého množství příznaky otravy - dýchací problémy, závratě, křeče, zvracení.</w:t>
            </w:r>
          </w:p>
        </w:tc>
      </w:tr>
      <w:tr>
        <w:trPr/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4.3</w:t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týkající se okamžité lékařské pomoci a zvláštního ošetření</w:t>
            </w:r>
          </w:p>
        </w:tc>
      </w:tr>
      <w:tr>
        <w:trPr>
          <w:trHeight w:val="414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 xml:space="preserve">Léčba symptomatická. Při náhodném požití, nebo pokud se objeví těžkosti po kontaktu s kůží, je nutné okamžitě kontaktovat lékaře a sdělit mu, že postižený přišel do kontaktu s nikotinem v náplni. 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7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6"/>
        <w:gridCol w:w="1660"/>
        <w:gridCol w:w="7701"/>
      </w:tblGrid>
      <w:tr>
        <w:trPr>
          <w:trHeight w:val="340" w:hRule="atLeast"/>
          <w:cantSplit w:val="true"/>
        </w:trPr>
        <w:tc>
          <w:tcPr>
            <w:tcW w:w="9927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5: Opatření pro hašení požáru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5.1</w:t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Hasiva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Vhodná hasiva:</w:t>
            </w:r>
          </w:p>
        </w:tc>
        <w:tc>
          <w:tcPr>
            <w:tcW w:w="7701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position w:val="-6"/>
                <w:sz w:val="16"/>
                <w:szCs w:val="16"/>
                <w:lang w:val="cs-CZ"/>
              </w:rPr>
              <w:t>Vodní tříšť, oxid uhličitý, hasicí prášek, alkoholu odolná pěna.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Nevhodná hasiva:</w:t>
            </w:r>
          </w:p>
        </w:tc>
        <w:tc>
          <w:tcPr>
            <w:tcW w:w="7701" w:type="dxa"/>
            <w:tcBorders/>
          </w:tcPr>
          <w:p>
            <w:pPr>
              <w:pStyle w:val="Normal"/>
              <w:widowControl w:val="false"/>
              <w:spacing w:before="20" w:after="2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Přizpůsobit látkám v okolí.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5.2</w:t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Zvláštní nebezpečnost vyplývající z látky nebo směsi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Směs se může za určitých okolností vznítit. Při požáru vzniká hustý černý kouř, může docházet ke vzniku oxidu uhelnatého a uhličitého a dalších toxických plynů. Vdechování nebezpečných rozkladných (pyrolýzních) produktů může způsobit vážné poškození zdraví.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5.3</w:t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Pokyny pro hasiče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Použijte izolační dýchací přístroj a celotělový ochranný oblek. Uzavřené nádoby se směsí v blízkosti požáru chlaďte vodou. Kontaminované hasivo nenechte uniknout do kanalizace, povrchových a spodních vod.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7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6"/>
        <w:gridCol w:w="9360"/>
      </w:tblGrid>
      <w:tr>
        <w:trPr>
          <w:trHeight w:val="340" w:hRule="atLeast"/>
          <w:cantSplit w:val="true"/>
        </w:trPr>
        <w:tc>
          <w:tcPr>
            <w:tcW w:w="9926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6: Opatření v případě náhodného úniku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6.1</w:t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osob, ochranné prostředky a nouzové postupy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Odstraňte všechny zdroje zapálení, zajistěte dostatečné větrání oblasti. Nekuřte. Zabraňte kontaktu s kůží a očima. Nevdechujte výpary. Používejte osobní ochranné pracovní prostředky. Nechráněné a nepovolané osoby musí opustit pracoviště. Postupujte podle pokynů obsažených v oddílech 7 a 8.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6.2</w:t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na ochranu životního prostředí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Zabraňte kontaminaci půdy a úniku do povrchových nebo spodních vod. Nepřipusťte vniknutí do kanalizace.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6.3</w:t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Metody a materiál pro omezení úniku a pro čištění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Rozlitou směs pokryjte vhodným (nehořlavým) adsorbujícím materiálem (písek, křemelina, zemina a jiné vhodné adsorbující materiály), shromážděte v dobře uzavřených nádobách a odstraňte dle oddílu 13. Sebraný materiál zneškodňujte v souladu s místně platnými předpisy. Při úniku velkých množství směsi informujte hasiče a odbor životního prostředí Obecního úřadu obce s rozšířenou působností. Po odstranění směsi umyjte kontaminované místo velkým množstvím vody nebo jiného vhodného čisticího prostředku. Nepoužívejte rozpouštědla.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6.4</w:t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Odkaz na jiné oddíly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Viz oddíl 7, 8 a 13.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7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5"/>
        <w:gridCol w:w="1804"/>
        <w:gridCol w:w="140"/>
        <w:gridCol w:w="995"/>
        <w:gridCol w:w="1417"/>
        <w:gridCol w:w="1703"/>
        <w:gridCol w:w="3302"/>
      </w:tblGrid>
      <w:tr>
        <w:trPr>
          <w:trHeight w:val="340" w:hRule="atLeast"/>
          <w:cantSplit w:val="true"/>
        </w:trPr>
        <w:tc>
          <w:tcPr>
            <w:tcW w:w="9926" w:type="dxa"/>
            <w:gridSpan w:val="7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7: Zacházení a skladování</w:t>
            </w:r>
          </w:p>
        </w:tc>
      </w:tr>
      <w:tr>
        <w:trPr>
          <w:trHeight w:val="224" w:hRule="atLeast"/>
          <w:cantSplit w:val="true"/>
        </w:trPr>
        <w:tc>
          <w:tcPr>
            <w:tcW w:w="565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7.1</w:t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Opatření pro bezpečné zacházení</w:t>
            </w:r>
          </w:p>
        </w:tc>
      </w:tr>
      <w:tr>
        <w:trPr/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se může za určitých okolností vznítit. Zajistěte větrání při používání. Chraňte před zdroji ohně a zapálení. Zabraňte kontaktu s kůží a očima. Učiňte opatření proti vzniku statického náboje, používejte antistatické oděvy a nejiskřící zařízení či nástroje. Používejte osobní ochranné pracovní prostředky podle oddílu 8. Dbejte na platné právní předpisy o bezpečnosti a ochranně zdraví. Důsledně dodržujte hygienické předpisy pro práci s chemikáliemi. Po práci, používání a před přestávkou si řádně umyjte ruce teplou vodou a mýdlem.</w:t>
            </w:r>
          </w:p>
        </w:tc>
      </w:tr>
      <w:tr>
        <w:trPr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5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7.2</w:t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 pro bezpečné skladování látek a směsí včetně neslučitelných látek a směsí</w:t>
            </w:r>
          </w:p>
        </w:tc>
      </w:tr>
      <w:tr>
        <w:trPr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Skladujte v těsně uzavřených originálních obalech na chladných a dobře větraných místech k tomu určených. Nevystavujte slunci. Chraňte před horkem, jiskrami a ohněm, před zdroji zapálení. Neskladujte s potravinami, nápoji, krmivy, léčivy. Chraňte před dětmi. Dodržujte platné předpisy pro skladování.</w:t>
            </w:r>
          </w:p>
        </w:tc>
      </w:tr>
      <w:tr>
        <w:trPr>
          <w:trHeight w:val="195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  <w:bookmarkStart w:id="3" w:name="_Hlk224219699"/>
            <w:bookmarkStart w:id="4" w:name="_Hlk224219699"/>
          </w:p>
        </w:tc>
        <w:tc>
          <w:tcPr>
            <w:tcW w:w="194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obalu:</w:t>
            </w:r>
          </w:p>
        </w:tc>
        <w:tc>
          <w:tcPr>
            <w:tcW w:w="7417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bookmarkStart w:id="5" w:name="_Hlk152328068"/>
            <w:r>
              <w:rPr>
                <w:rFonts w:ascii="Verdana" w:hAnsi="Verdana"/>
                <w:sz w:val="16"/>
                <w:szCs w:val="16"/>
                <w:lang w:val="cs-CZ"/>
              </w:rPr>
              <w:t>náhradní cartridge POD systém s před-naplněnou e-liquid příchutí/náplní</w:t>
            </w:r>
            <w:bookmarkEnd w:id="5"/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o objemu 2ml</w:t>
            </w:r>
            <w:bookmarkEnd w:id="4"/>
          </w:p>
        </w:tc>
      </w:tr>
      <w:tr>
        <w:trPr>
          <w:trHeight w:val="195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195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Specifické požadavky nebo pravidla vztahující se k látce/směsi</w:t>
            </w:r>
          </w:p>
        </w:tc>
      </w:tr>
      <w:tr>
        <w:trPr>
          <w:trHeight w:val="195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uvedeny.</w:t>
            </w:r>
          </w:p>
        </w:tc>
      </w:tr>
      <w:tr>
        <w:trPr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5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7.3</w:t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Specifické konečné / specifická konečná použití</w:t>
            </w:r>
          </w:p>
        </w:tc>
      </w:tr>
      <w:tr>
        <w:trPr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Náplň do elektronických cigaret.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9926" w:type="dxa"/>
            <w:gridSpan w:val="7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8: Omezování expozice/osobní ochranné prostředky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8.1</w:t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Kontrolní parametry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>
              <w:bottom w:val="single" w:sz="4" w:space="0" w:color="000000"/>
            </w:tcBorders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Nařízením vlády č. 361/2007 Sb., kterým se stanoví podmínky ochrany zdraví při práci, v platném znění, jsou stanoveny následující nejvyšší přípustné koncentrace (NPK-P) a přípustné expoziční limity (PEL) chemických látek v ovzduší pracovišť:</w:t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PEL (mg/m³)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NPK-P (mg/m³)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bookmarkStart w:id="6" w:name="RANGE!C185%25253AJ185"/>
            <w:r>
              <w:rPr>
                <w:rFonts w:cs="Calibri" w:ascii="Verdana" w:hAnsi="Verdana"/>
                <w:sz w:val="16"/>
                <w:szCs w:val="16"/>
              </w:rPr>
              <w:t>Benzylalkohol</w:t>
            </w:r>
            <w:bookmarkEnd w:id="6"/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100-51-6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40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80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Ethylacetát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141-78-6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700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900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Glycerol, mlha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56-81-5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 w:cstheme="minorHAnsi"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Kyselina octová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64-19-7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Kyselina propionová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79-09-4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I - dráždí sliznice (oči, dýchací cesty) resp. kůži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Nikotin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54-11-5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0,5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2,5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D - při expozici se významně uplatňuje pronikání faktoru kůží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Pentylacetát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123-92-2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270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Látky, pro které je stanoven expoziční limit Unie:</w:t>
            </w:r>
          </w:p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Látka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CAS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Limitní hodnoty (mg/m³)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Poznámka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OEL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  <w:t>STEL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rPr>
                <w:rFonts w:ascii="Verdana" w:hAnsi="Verdana" w:cs="Calibri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cs="Calibri"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bookmarkStart w:id="7" w:name="RANGE!C197"/>
            <w:r>
              <w:rPr>
                <w:rFonts w:cs="Calibri" w:ascii="Verdana" w:hAnsi="Verdana"/>
                <w:sz w:val="16"/>
                <w:szCs w:val="16"/>
              </w:rPr>
              <w:t>Kyselina propionová</w:t>
            </w:r>
            <w:bookmarkEnd w:id="7"/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79-09-4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31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62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Izopenthylacetát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123-92-2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270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Nikotin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54-11-5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0,5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-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Dermal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Kyselina octová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64-19-7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25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50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4" w:hRule="atLeast"/>
          <w:cantSplit w:val="true"/>
        </w:trPr>
        <w:tc>
          <w:tcPr>
            <w:tcW w:w="565" w:type="dxa"/>
            <w:vMerge w:val="continue"/>
            <w:tcBorders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Ethylacetát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141-78-6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734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1468</w: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 w:cs="Calibri"/>
                <w:i/>
                <w:i/>
                <w:iCs/>
                <w:sz w:val="16"/>
                <w:szCs w:val="16"/>
              </w:rPr>
            </w:pPr>
            <w:r>
              <w:rPr>
                <w:rFonts w:cs="Calibri" w:ascii="Verdana" w:hAnsi="Verdana"/>
                <w:i/>
                <w:iCs/>
                <w:sz w:val="16"/>
                <w:szCs w:val="16"/>
              </w:rPr>
              <w:t> 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Limitní hodnoty ukazatelů biologických testů (432/2003 Sb., příloha 2): nejsou stanoveny</w:t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Jiné údaje o limitních hodnotách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sz w:val="16"/>
                <w:szCs w:val="16"/>
                <w:lang w:val="cs-CZ"/>
              </w:rPr>
              <w:t>DNEL, PNEC nejsou k dispozici.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8.2</w:t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Omezování expozice</w:t>
            </w:r>
          </w:p>
        </w:tc>
      </w:tr>
      <w:tr>
        <w:trPr>
          <w:trHeight w:val="206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Zabraňte kontaktu s kůží a očima. Dbejte obvyklých opatření na ochranu zdraví při práci s chemikáliemi a zejména na dobré větrání.  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6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dýchacích cest</w:t>
            </w:r>
          </w:p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 Při výrobě a podobné expozici použijte masku s filtrem proti organickým parám, nebo izolační dýchací přístroj jsou-li překročeny NPK-P toxických látek nebo ve špatně větratelném prostředí (podle ČSN EN 14387:2004, 83 2220).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očí a obličeje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rukou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Ochrana kůže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určeném způsobu použití není nutná.</w:t>
            </w:r>
          </w:p>
        </w:tc>
      </w:tr>
      <w:tr>
        <w:trPr>
          <w:trHeight w:val="241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Tepelné nebezpečí</w:t>
            </w:r>
          </w:p>
          <w:p>
            <w:pPr>
              <w:pStyle w:val="Normal"/>
              <w:widowControl w:val="false"/>
              <w:spacing w:before="0" w:after="6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Výrobek je hořlavina III. třídy.</w:t>
            </w:r>
          </w:p>
        </w:tc>
      </w:tr>
      <w:tr>
        <w:trPr>
          <w:trHeight w:val="338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Omezování expozice životního prostředí</w:t>
            </w:r>
          </w:p>
          <w:p>
            <w:pPr>
              <w:pStyle w:val="Zpat"/>
              <w:widowControl w:val="false"/>
              <w:spacing w:before="0" w:after="6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Dbejte obvyklých opatření na ochranu životního prostředí, viz bod 6.2.</w:t>
            </w:r>
          </w:p>
        </w:tc>
      </w:tr>
      <w:tr>
        <w:trPr>
          <w:trHeight w:val="317" w:hRule="atLeast"/>
          <w:cantSplit w:val="true"/>
        </w:trPr>
        <w:tc>
          <w:tcPr>
            <w:tcW w:w="565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1" w:type="dxa"/>
            <w:gridSpan w:val="6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Další údaje</w:t>
            </w:r>
          </w:p>
          <w:p>
            <w:pPr>
              <w:pStyle w:val="Normal"/>
              <w:widowControl w:val="false"/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Cs/>
                <w:iCs/>
                <w:sz w:val="16"/>
                <w:szCs w:val="16"/>
                <w:lang w:val="cs-CZ"/>
              </w:rPr>
              <w:t>Nejsou.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4754"/>
        <w:gridCol w:w="4605"/>
      </w:tblGrid>
      <w:tr>
        <w:trPr>
          <w:trHeight w:val="340" w:hRule="atLeast"/>
          <w:cantSplit w:val="true"/>
        </w:trPr>
        <w:tc>
          <w:tcPr>
            <w:tcW w:w="9926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9: Fyzikální a chemické vlastnosti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9.1</w:t>
            </w:r>
          </w:p>
        </w:tc>
        <w:tc>
          <w:tcPr>
            <w:tcW w:w="9359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základních fyzikálních a chemických vlastnostech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Skupenství: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kapalina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Barva: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Zápach: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dle specifikace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tání/bod tuhnutí: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varu nebo počáteční bod varu a rozmezí bodu varu: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140-160°C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Hořlavost: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Dolní a horní mezní hodnota výbušnosti: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Produkt není výbušný.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Bod vzplanutí: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65 °C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samovznícení: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Teplota rozkladu: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pH: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5 - 7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Kinematická viskozita: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Rozpustnost: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Rozdělovací koeficient n-oktanol/voda:</w:t>
            </w:r>
          </w:p>
        </w:tc>
        <w:tc>
          <w:tcPr>
            <w:tcW w:w="4605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Tlak páry: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</w:rPr>
              <w:t>Hustota a/nebo relativní hustota: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1.14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Relativní hustota páry: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 dispozici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75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Charakteristiky částic:</w:t>
            </w:r>
          </w:p>
        </w:tc>
        <w:tc>
          <w:tcPr>
            <w:tcW w:w="4605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není relevantní (kapalina)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9.2</w:t>
            </w:r>
          </w:p>
        </w:tc>
        <w:tc>
          <w:tcPr>
            <w:tcW w:w="9359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Další informace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9359"/>
      </w:tblGrid>
      <w:tr>
        <w:trPr>
          <w:trHeight w:val="340" w:hRule="atLeast"/>
          <w:cantSplit w:val="true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10: Stálost a reaktivita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10.1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Reaktivita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Nebezpečná polymerace se neočekává, ani jiné nebezpečné reakce při doporučeném používání a skladování.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10.2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Chemická stabilita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Při dodržení stanovených předpisů ke skladování a používání je směs stabilní (viz bod 7).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10.3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Možnost nebezpečných reakcí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Se silnými oxidačními činidly, kyselinami a louhy.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10.4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Podmínky, kterým je třeba zabránit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Vysoká teplota a zdroje zapálení, sluneční záření.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10.5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Neslučitelné materiály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Silná oxidační činidla, silné kyseliny a zásady.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10.6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Nebezpečné produkty rozkladu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Za normálního způsobu použití nevznikají. Při vysokých teplotách a při požáru vznikají nebezpečné produkty, jako např. oxid uhelnatý, uhličitý, dým, saze.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426"/>
        <w:gridCol w:w="8937"/>
      </w:tblGrid>
      <w:tr>
        <w:trPr>
          <w:trHeight w:val="340" w:hRule="atLeast"/>
          <w:cantSplit w:val="true"/>
        </w:trPr>
        <w:tc>
          <w:tcPr>
            <w:tcW w:w="9930" w:type="dxa"/>
            <w:gridSpan w:val="3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11: Toxikologické informace</w:t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11.1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Informace o třídách nebezpečnosti vymezených v nařízení (ES) č. 1272/2008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toxikologické údaje k dispozici.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adpis2"/>
              <w:widowControl w:val="false"/>
              <w:spacing w:before="80" w:after="0"/>
              <w:rPr>
                <w:rFonts w:ascii="Verdana" w:hAnsi="Verdana"/>
                <w:i w:val="false"/>
                <w:i w:val="false"/>
                <w:sz w:val="16"/>
                <w:szCs w:val="16"/>
              </w:rPr>
            </w:pPr>
            <w:r>
              <w:rPr>
                <w:rFonts w:ascii="Verdana" w:hAnsi="Verdana"/>
                <w:i w:val="false"/>
                <w:iCs w:val="false"/>
                <w:sz w:val="16"/>
                <w:szCs w:val="16"/>
              </w:rPr>
              <w:t>a)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adpis2"/>
              <w:widowControl w:val="false"/>
              <w:spacing w:before="80" w:after="0"/>
              <w:rPr>
                <w:rFonts w:ascii="Verdana" w:hAnsi="Verdana"/>
                <w:i w:val="false"/>
                <w:i w:val="false"/>
                <w:sz w:val="16"/>
                <w:szCs w:val="16"/>
              </w:rPr>
            </w:pPr>
            <w:r>
              <w:rPr>
                <w:rFonts w:ascii="Verdana" w:hAnsi="Verdana"/>
                <w:i w:val="false"/>
                <w:sz w:val="16"/>
                <w:szCs w:val="16"/>
              </w:rPr>
              <w:t>Akutní toxicita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Zdraví škodlivý při požití.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8"/>
                <w:szCs w:val="8"/>
                <w:lang w:val="cs-CZ"/>
              </w:rPr>
            </w:pPr>
            <w:r>
              <w:rPr>
                <w:rFonts w:ascii="Verdana" w:hAnsi="Verdana"/>
                <w:sz w:val="8"/>
                <w:szCs w:val="8"/>
                <w:lang w:val="cs-CZ"/>
              </w:rPr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glycerol: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12 600 mg/kg (potkan, orálně) (zdroj: Feellife Bioscience)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propan-1,2-diol: LD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20 000 mg/l (potkan, orálně)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b)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Žíravost / dráždivost pro kůži</w:t>
            </w:r>
          </w:p>
        </w:tc>
      </w:tr>
      <w:tr>
        <w:trPr>
          <w:trHeight w:val="21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</w:tcPr>
          <w:p>
            <w:pPr>
              <w:pStyle w:val="Normal"/>
              <w:widowControl w:val="false"/>
              <w:ind w:left="28" w:hanging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c)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Vážné poškození očí /podráždění očí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Způsobuje vážné poškození očí.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d)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Senzibilizace dýchacích cest / senzibilizace kůže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e)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Mutagenita v zárodečných buňkách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f)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Karcinogenita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g)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reprodukci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h)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jednorázová expozice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i)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Toxicita pro specifické cílové orgány – opakovaná expozice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j)</w:t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Nebezpečnost při vdechnutí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893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11.2</w:t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Informace o další nebezpečnosti</w:t>
            </w:r>
          </w:p>
        </w:tc>
      </w:tr>
      <w:tr>
        <w:trPr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k dispozici.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9359"/>
      </w:tblGrid>
      <w:tr>
        <w:trPr>
          <w:trHeight w:val="340" w:hRule="atLeast"/>
          <w:cantSplit w:val="true"/>
        </w:trPr>
        <w:tc>
          <w:tcPr>
            <w:tcW w:w="9925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12: Ekologické informace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12.1</w:t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Toxicita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 základě dostupných údajů nejsou splněna kritéria pro klasifikaci.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Ryby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LC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4 mg/l (Oncorhynchus mykiss, 96 h)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Řasy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11 mg/l (Desmodesmus subspicatus, 72 h)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NOEC = 3,2 mg/l (Desmodesmus subspicatus, 72 h)</w:t>
            </w:r>
          </w:p>
        </w:tc>
      </w:tr>
      <w:tr>
        <w:trPr>
          <w:trHeight w:val="210" w:hRule="atLeast"/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Dafnie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nikotin: EC</w:t>
            </w:r>
            <w:r>
              <w:rPr>
                <w:rFonts w:ascii="Verdana" w:hAnsi="Verdana"/>
                <w:sz w:val="16"/>
                <w:szCs w:val="16"/>
                <w:vertAlign w:val="subscript"/>
                <w:lang w:val="cs-CZ"/>
              </w:rPr>
              <w:t>50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= 3 mg/l (Daphnia magna, 48 h)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/>
                <w:i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  <w:lang w:val="cs-CZ"/>
              </w:rPr>
              <w:t>Bakterie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Údaj není k dispozici.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12.2</w:t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Perzistence a rozložitelnost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Při úniku do vzduchu budou výpary rozloženy při reakci s fotochemicky vyrobenými hydroxylovými radikály. Neočekává se přímá fotolýza slunečním světlem.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12.3</w:t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Bioakumulační potenciál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Biokoncentrace se nepředpokládá.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12.4</w:t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Mobilita v půdě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Pro směs nejsou žádné údaje k dispozici. Očekává se velká mobilita v půdě, neočekává se vypařování z povrchu. Ve vodě se neočekává adsorpce na suspendované pevné látky a vypařování z povrchu vody.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12.5</w:t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Výsledky posouzení PBT a vPvB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žádné látky, které jsou vyhodnoceny jako PBT nebo vPvB v koncentraci 0,1 % hmotnostních nebo vyšší.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12.6</w:t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Vlastnosti vyvolávající narušení činnosti endokrinního systému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Tento produkt neobsahuje endokrinní disruptory v koncentraci 0,1% hmotnostních nebo vyšší.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12.7</w:t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Jiné nepříznivé účinky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59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Nejsou známy.</w:t>
            </w:r>
          </w:p>
        </w:tc>
      </w:tr>
    </w:tbl>
    <w:p>
      <w:pPr>
        <w:pStyle w:val="Zpat"/>
        <w:tabs>
          <w:tab w:val="clear" w:pos="4536"/>
          <w:tab w:val="clear" w:pos="9072"/>
        </w:tabs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40" w:type="dxa"/>
        <w:tblLayout w:type="fixed"/>
        <w:tblCellMar>
          <w:top w:w="0" w:type="dxa"/>
          <w:left w:w="43" w:type="dxa"/>
          <w:bottom w:w="0" w:type="dxa"/>
          <w:right w:w="43" w:type="dxa"/>
        </w:tblCellMar>
        <w:tblLook w:firstRow="0" w:noVBand="0" w:lastRow="0" w:firstColumn="0" w:lastColumn="0" w:noHBand="0" w:val="0000"/>
      </w:tblPr>
      <w:tblGrid>
        <w:gridCol w:w="567"/>
        <w:gridCol w:w="244"/>
        <w:gridCol w:w="182"/>
        <w:gridCol w:w="2369"/>
        <w:gridCol w:w="6567"/>
      </w:tblGrid>
      <w:tr>
        <w:trPr>
          <w:trHeight w:val="340" w:hRule="atLeast"/>
          <w:cantSplit w:val="true"/>
        </w:trPr>
        <w:tc>
          <w:tcPr>
            <w:tcW w:w="9929" w:type="dxa"/>
            <w:gridSpan w:val="5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13: Pokyny pro odstraňování</w:t>
            </w:r>
          </w:p>
        </w:tc>
      </w:tr>
      <w:tr>
        <w:trPr>
          <w:trHeight w:val="243" w:hRule="atLeast"/>
          <w:cantSplit w:val="true"/>
        </w:trPr>
        <w:tc>
          <w:tcPr>
            <w:tcW w:w="567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adpis3"/>
              <w:widowControl w:val="false"/>
              <w:spacing w:before="0" w:after="60"/>
              <w:jc w:val="both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Nebezpečí kontaminace životního prostředí, postupujte podle zákona č. 541/2020 Sb. o odpadech, v platném znění, a podle prováděcích předpisů o zneškodňování odpadů. Rozlitou směs pokryjte vhodným (nehořlavým) absorbujícím materiálem (písek, křemelina, zemina a jiné vhodné adsorbční materiály), shromážděte v dobře uzavřených a označených nádobách.</w:t>
            </w:r>
          </w:p>
        </w:tc>
      </w:tr>
      <w:tr>
        <w:trPr>
          <w:trHeight w:val="243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13.1</w:t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adpis3"/>
              <w:widowControl w:val="false"/>
              <w:spacing w:before="0" w:after="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Metody nakládání s odpady</w:t>
            </w:r>
          </w:p>
          <w:p>
            <w:pPr>
              <w:pStyle w:val="Normal"/>
              <w:widowControl w:val="false"/>
              <w:jc w:val="both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Postupujte podle platných předpisů o zneškodňování odpadů. Nepoužitý výrobek a znečištěný obal uložte do označených nádob pro sběr odpadu a předejte k odstranění oprávněné osobě k odstranění odpadu (specializované firmě), která má oprávnění k této činnosti. Nepoužitý výrobek nevylévat do kanalizace. Nesmí se odstraňovat společně s komunálními odpady. Prázdné obaly je možno energeticky využít ve spalovně odpadů nebo ukládat na skládce příslušného zařazení. Dokonale vyčištěné obaly je možné předat k recyklaci.</w:t>
            </w:r>
          </w:p>
        </w:tc>
      </w:tr>
      <w:tr>
        <w:trPr>
          <w:trHeight w:val="242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Právní předpisy o odpadech</w:t>
            </w:r>
          </w:p>
        </w:tc>
      </w:tr>
      <w:tr>
        <w:trPr>
          <w:trHeight w:val="242" w:hRule="atLeast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541/2020 Sb., o odpadech, v platném znění a související předpisy.</w:t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42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070699</w:t>
            </w:r>
          </w:p>
        </w:tc>
      </w:tr>
      <w:tr>
        <w:trPr>
          <w:trHeight w:val="242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44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55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Odpad jinak blíže neurčený</w:t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jednorázový vaporizér</w:t>
            </w:r>
          </w:p>
        </w:tc>
      </w:tr>
      <w:tr>
        <w:trPr>
          <w:trHeight w:val="195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79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  <w:t>Kód druhu odpadu pro obal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200135</w:t>
            </w:r>
          </w:p>
        </w:tc>
      </w:tr>
      <w:tr>
        <w:trPr>
          <w:trHeight w:val="195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44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2551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Druh odpadu</w:t>
            </w:r>
          </w:p>
        </w:tc>
        <w:tc>
          <w:tcPr>
            <w:tcW w:w="6567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Vyřazené elektrické a elektronické zařízení obsahující nebezpečné látky neuvedené pod položkami 20 01 21 a 20 01 23*</w:t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gridSpan w:val="4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70" w:hRule="atLeast"/>
          <w:cantSplit w:val="true"/>
        </w:trPr>
        <w:tc>
          <w:tcPr>
            <w:tcW w:w="567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426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sz w:val="16"/>
                <w:szCs w:val="16"/>
                <w:lang w:val="cs-CZ"/>
              </w:rPr>
            </w:r>
          </w:p>
        </w:tc>
        <w:tc>
          <w:tcPr>
            <w:tcW w:w="8936" w:type="dxa"/>
            <w:gridSpan w:val="2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(*) - nebezpečný odpad podle směrnice 91/689/EHS o nebezpečných odpadech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6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2268"/>
        <w:gridCol w:w="312"/>
        <w:gridCol w:w="2098"/>
        <w:gridCol w:w="2268"/>
        <w:gridCol w:w="2414"/>
      </w:tblGrid>
      <w:tr>
        <w:trPr>
          <w:trHeight w:val="340" w:hRule="atLeast"/>
          <w:cantSplit w:val="true"/>
        </w:trPr>
        <w:tc>
          <w:tcPr>
            <w:tcW w:w="9926" w:type="dxa"/>
            <w:gridSpan w:val="6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14: Informace pro přepravu</w:t>
            </w:r>
          </w:p>
        </w:tc>
      </w:tr>
      <w:tr>
        <w:trPr>
          <w:trHeight w:val="80" w:hRule="atLeast"/>
          <w:cantSplit w:val="true"/>
        </w:trPr>
        <w:tc>
          <w:tcPr>
            <w:tcW w:w="9926" w:type="dxa"/>
            <w:gridSpan w:val="6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8"/>
                <w:szCs w:val="8"/>
                <w:lang w:val="cs-CZ"/>
              </w:rPr>
            </w:pPr>
            <w:r>
              <w:rPr>
                <w:rFonts w:ascii="Verdana" w:hAnsi="Verdana"/>
                <w:sz w:val="8"/>
                <w:szCs w:val="8"/>
                <w:lang w:val="cs-CZ"/>
              </w:rPr>
            </w:r>
          </w:p>
        </w:tc>
      </w:tr>
      <w:tr>
        <w:trPr>
          <w:trHeight w:val="251" w:hRule="atLeast"/>
          <w:cantSplit w:val="true"/>
        </w:trPr>
        <w:tc>
          <w:tcPr>
            <w:tcW w:w="566" w:type="dxa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14.1</w:t>
            </w:r>
          </w:p>
        </w:tc>
        <w:tc>
          <w:tcPr>
            <w:tcW w:w="9360" w:type="dxa"/>
            <w:gridSpan w:val="5"/>
            <w:tcBorders/>
            <w:vAlign w:val="center"/>
          </w:tcPr>
          <w:p>
            <w:pPr>
              <w:pStyle w:val="Nadpis6"/>
              <w:widowControl w:val="false"/>
              <w:jc w:val="left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  <w:lang w:val="cs-CZ"/>
              </w:rPr>
              <w:t xml:space="preserve">UN číslo nebo ID číslo: </w:t>
            </w:r>
            <w:r>
              <w:rPr>
                <w:rFonts w:ascii="Verdana" w:hAnsi="Verdana"/>
                <w:b w:val="false"/>
                <w:color w:val="000000"/>
                <w:sz w:val="16"/>
                <w:szCs w:val="16"/>
                <w:lang w:val="cs-CZ"/>
              </w:rPr>
              <w:t>3144</w:t>
            </w:r>
          </w:p>
        </w:tc>
      </w:tr>
      <w:tr>
        <w:trPr>
          <w:trHeight w:val="248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14.2</w:t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Oficiální (OSN) pojmenování pro přepravu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Pozemní přeprava ADR:</w:t>
            </w:r>
          </w:p>
        </w:tc>
        <w:tc>
          <w:tcPr>
            <w:tcW w:w="6780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DefaultText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Železniční přeprava RID:</w:t>
            </w:r>
          </w:p>
        </w:tc>
        <w:tc>
          <w:tcPr>
            <w:tcW w:w="6780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PŘÍPRAVKY NIKOTINOVÉ, KAPALNÉ, J.N.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IMDG:</w:t>
            </w:r>
          </w:p>
        </w:tc>
        <w:tc>
          <w:tcPr>
            <w:tcW w:w="6780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580" w:type="dxa"/>
            <w:gridSpan w:val="2"/>
            <w:tcBorders/>
            <w:tcMar>
              <w:right w:w="28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Letecká přeprava ICAO/IATA:</w:t>
            </w:r>
          </w:p>
        </w:tc>
        <w:tc>
          <w:tcPr>
            <w:tcW w:w="6780" w:type="dxa"/>
            <w:gridSpan w:val="3"/>
            <w:tcBorders/>
            <w:tcMar>
              <w:left w:w="57" w:type="dxa"/>
              <w:right w:w="57" w:type="dxa"/>
            </w:tcMar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NICOTINE PREPARATION, LIQUID, N.O.S.</w:t>
            </w:r>
          </w:p>
        </w:tc>
      </w:tr>
      <w:tr>
        <w:trPr>
          <w:trHeight w:val="248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14.3</w:t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Třída/třídy nebezpečnosti pro přepravu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414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  <w:tc>
          <w:tcPr>
            <w:tcW w:w="241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6.1</w:t>
            </w:r>
          </w:p>
        </w:tc>
      </w:tr>
      <w:tr>
        <w:trPr>
          <w:trHeight w:val="248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14.4</w:t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Obalová skupina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  <w:tcBorders/>
          </w:tcPr>
          <w:p>
            <w:pPr>
              <w:pStyle w:val="DefaultText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414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0" w:type="dxa"/>
            <w:gridSpan w:val="2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  <w:tc>
          <w:tcPr>
            <w:tcW w:w="2414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III</w:t>
            </w:r>
          </w:p>
        </w:tc>
      </w:tr>
      <w:tr>
        <w:trPr>
          <w:trHeight w:val="248" w:hRule="atLeast"/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Bezpečnostní značka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Pozemní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ADR</w:t>
            </w:r>
          </w:p>
        </w:tc>
        <w:tc>
          <w:tcPr>
            <w:tcW w:w="2410" w:type="dxa"/>
            <w:gridSpan w:val="2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Železniční přeprava</w:t>
            </w: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RID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  <w:lang w:val="cs-CZ"/>
              </w:rPr>
              <w:t>Námořní přeprava</w:t>
            </w: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 xml:space="preserve"> IMDG</w:t>
            </w:r>
          </w:p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414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  <w:t>Letecká přeprava ICAO/IATA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2268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3" name="image2.jpeg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2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4" name="Obrázek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5" name="Obrázek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4" w:type="dxa"/>
            <w:tcBorders/>
            <w:tcMar>
              <w:top w:w="28" w:type="dxa"/>
              <w:bottom w:w="2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/>
              <w:drawing>
                <wp:inline distT="0" distB="0" distL="0" distR="0">
                  <wp:extent cx="647700" cy="647700"/>
                  <wp:effectExtent l="0" t="0" r="0" b="0"/>
                  <wp:docPr id="6" name="Obrázek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48" w:hRule="atLeast"/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14.5</w:t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adpis3"/>
              <w:widowControl w:val="false"/>
              <w:spacing w:before="80" w:after="0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>Nebezpečnost pro životní prostředí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/>
                <w:i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-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14.6</w:t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Zvláštní bezpečnostní opatření pro uživatele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  <w:tr>
        <w:trPr>
          <w:cantSplit w:val="true"/>
        </w:trPr>
        <w:tc>
          <w:tcPr>
            <w:tcW w:w="566" w:type="dxa"/>
            <w:vMerge w:val="restart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14.7</w:t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Normal"/>
              <w:widowControl w:val="false"/>
              <w:spacing w:before="80" w:after="0"/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/>
              </w:rPr>
              <w:t>Námořní hromadná přeprava podle nástrojů IMO</w:t>
            </w:r>
          </w:p>
        </w:tc>
      </w:tr>
      <w:tr>
        <w:trPr>
          <w:cantSplit w:val="true"/>
        </w:trPr>
        <w:tc>
          <w:tcPr>
            <w:tcW w:w="566" w:type="dxa"/>
            <w:vMerge w:val="continue"/>
            <w:tcBorders/>
          </w:tcPr>
          <w:p>
            <w:pPr>
              <w:pStyle w:val="Normal"/>
              <w:widowControl w:val="false"/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</w:r>
          </w:p>
        </w:tc>
        <w:tc>
          <w:tcPr>
            <w:tcW w:w="9360" w:type="dxa"/>
            <w:gridSpan w:val="5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i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iCs/>
                <w:sz w:val="16"/>
                <w:szCs w:val="16"/>
                <w:lang w:val="cs-CZ"/>
              </w:rPr>
              <w:t>-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30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7"/>
        <w:gridCol w:w="9362"/>
      </w:tblGrid>
      <w:tr>
        <w:trPr>
          <w:trHeight w:val="340" w:hRule="atLeast"/>
          <w:cantSplit w:val="true"/>
        </w:trPr>
        <w:tc>
          <w:tcPr>
            <w:tcW w:w="9929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15: Informace o předpisech</w:t>
            </w:r>
          </w:p>
        </w:tc>
      </w:tr>
      <w:tr>
        <w:trPr>
          <w:trHeight w:val="237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15.1</w:t>
            </w:r>
          </w:p>
        </w:tc>
        <w:tc>
          <w:tcPr>
            <w:tcW w:w="9362" w:type="dxa"/>
            <w:tcBorders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b/>
                <w:b/>
                <w:bCs/>
                <w:i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iCs/>
                <w:sz w:val="16"/>
                <w:szCs w:val="16"/>
                <w:lang w:val="cs-CZ" w:eastAsia="en-US"/>
              </w:rPr>
              <w:t>Nařízení týkající se bezpečnosti, zdraví a životního prostředí / specifické právní předpisy týkající se látky nebo směsi</w:t>
            </w:r>
          </w:p>
        </w:tc>
      </w:tr>
      <w:tr>
        <w:trPr>
          <w:trHeight w:val="237" w:hRule="atLeast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Všechny předpisy v platném znění a včetně prováděcích předpisů: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1907/2006 o registraci, hodnocení, povolování a omezování chemických látek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Evropského parlamentu a Rady (ES) č. 1272/2008 o klasifikaci, označování a balení látek a směsí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350/2011 Sb., o chemických látkách a chemických směsích a o změně některých zákonů (chemický zákon).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Nařízení vlády č. 361/2007 Sb., kterým se stanoví podmínky ochrany zdraví při práci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258/2000 Sb., o ochraně veřejného zdraví v platném znění.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Zákon č. 541/2020 Sb., o odpadech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477/2001 Sb., o obalech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201/2012 Sb., o ochraně ovzduší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 xml:space="preserve">Nařízení vlády č. 194/2001 Sb., kterým se stanoví technické požadavky na aerosolové rozprašovače 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Zákon č. 110/1997 Sb. o potravinách a tabákových výrobcích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Vyhláška č. 37/2017 Sb., o elektronických cigaretách, náhradních náplních do nich a bylinných výrobcích určených ke kouření.</w:t>
            </w:r>
          </w:p>
        </w:tc>
      </w:tr>
      <w:tr>
        <w:trPr>
          <w:trHeight w:val="80" w:hRule="atLeast"/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Zpat"/>
              <w:widowControl w:val="false"/>
              <w:tabs>
                <w:tab w:val="clear" w:pos="4536"/>
                <w:tab w:val="clear" w:pos="9072"/>
              </w:tabs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Zhlav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</w:tr>
      <w:tr>
        <w:trPr>
          <w:trHeight w:val="237" w:hRule="atLeast"/>
          <w:cantSplit w:val="true"/>
        </w:trPr>
        <w:tc>
          <w:tcPr>
            <w:tcW w:w="567" w:type="dxa"/>
            <w:vMerge w:val="restart"/>
            <w:tcBorders/>
          </w:tcPr>
          <w:p>
            <w:pPr>
              <w:pStyle w:val="Normal"/>
              <w:widowControl w:val="false"/>
              <w:spacing w:before="20" w:after="0"/>
              <w:rPr>
                <w:rFonts w:ascii="Verdana" w:hAnsi="Verdana"/>
                <w:b/>
                <w:b/>
                <w:bCs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/>
              </w:rPr>
              <w:t>15.2</w:t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cs-CZ" w:eastAsia="en-US"/>
              </w:rPr>
              <w:t>Posouzení chemické bezpečnosti</w:t>
            </w:r>
          </w:p>
        </w:tc>
      </w:tr>
      <w:tr>
        <w:trPr>
          <w:trHeight w:val="237" w:hRule="atLeast"/>
          <w:cantSplit w:val="true"/>
        </w:trPr>
        <w:tc>
          <w:tcPr>
            <w:tcW w:w="56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</w:r>
          </w:p>
        </w:tc>
        <w:tc>
          <w:tcPr>
            <w:tcW w:w="9362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 w:eastAsia="en-US"/>
              </w:rPr>
            </w:pPr>
            <w:r>
              <w:rPr>
                <w:rFonts w:ascii="Verdana" w:hAnsi="Verdana"/>
                <w:sz w:val="16"/>
                <w:szCs w:val="16"/>
                <w:lang w:val="cs-CZ" w:eastAsia="en-US"/>
              </w:rPr>
              <w:t>Nebylo provedeno.</w:t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>
          <w:rFonts w:ascii="Verdana" w:hAnsi="Verdana"/>
          <w:sz w:val="16"/>
          <w:szCs w:val="16"/>
          <w:lang w:val="cs-CZ"/>
        </w:rPr>
      </w:r>
    </w:p>
    <w:tbl>
      <w:tblPr>
        <w:tblW w:w="9928" w:type="dxa"/>
        <w:jc w:val="left"/>
        <w:tblInd w:w="67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071"/>
        <w:gridCol w:w="7856"/>
      </w:tblGrid>
      <w:tr>
        <w:trPr>
          <w:trHeight w:val="382" w:hRule="atLeast"/>
          <w:cantSplit w:val="true"/>
        </w:trPr>
        <w:tc>
          <w:tcPr>
            <w:tcW w:w="9927" w:type="dxa"/>
            <w:gridSpan w:val="2"/>
            <w:tcBorders>
              <w:top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b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  <w:lang w:val="cs-CZ"/>
              </w:rPr>
              <w:t>ODDÍL 16: Další informace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rPr>
                <w:rFonts w:ascii="Calibri" w:hAnsi="Calibri" w:cs="Calibri"/>
                <w:b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 xml:space="preserve">Změny provedené v bezpečnostním listu v rámci revize: </w:t>
            </w:r>
            <w:r>
              <w:rPr>
                <w:rFonts w:cs="Calibri" w:ascii="Verdana" w:hAnsi="Verdana"/>
                <w:sz w:val="16"/>
                <w:szCs w:val="16"/>
              </w:rPr>
              <w:t xml:space="preserve"> -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</w:tcPr>
          <w:p>
            <w:pPr>
              <w:pStyle w:val="NormalTab1"/>
              <w:widowControl w:val="false"/>
              <w:rPr>
                <w:rFonts w:ascii="Calibri" w:hAnsi="Calibri" w:cs="Calibri"/>
                <w:b/>
                <w:b/>
                <w:bCs/>
              </w:rPr>
            </w:pPr>
            <w:r>
              <w:rPr>
                <w:rFonts w:cs="Calibri" w:ascii="Calibri" w:hAnsi="Calibri"/>
                <w:b/>
                <w:bCs/>
              </w:rPr>
              <w:t>Kompletní znění všech klasifikací a tříd nebezpečnosti uvedených v oddíle 3: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Tab1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Třída nebezpečnosti:</w:t>
            </w:r>
          </w:p>
        </w:tc>
        <w:tc>
          <w:tcPr>
            <w:tcW w:w="785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2 - Akutní toxicita,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3 - Akutní toxicita, kategorie 3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Acute Tox. 4 - Akutní toxicita, kategorie 4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Aquatic Acute 1 - Nebezpečný pro vodní prostředí - akutně, kategorie 1</w:t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Aquatic Chronic 2 - Nebezpečný pro vodní prostředí - chronicky, kategorie 2</w:t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Aquatic Chronic 3 - Nebezpečný pro vodní prostředí - chronicky, kategorie 3</w:t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Asp. Tox. 1 - Nebezpečnost při vdechnutí, kategorie 1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Eye Dam. 1 - Vážné poškození očí, kategorie 1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Eye Irrit. 2 - Podráždění očí,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Flam. Liq. 2 - Hořlavé kapaliny,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Flam. Liq. 3 - Hořlavé kapaliny, kategorie 3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STOT RE 1 - Toxicita pro specifické cílové orgány (opakovaná expozice), kategorie 1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STOT SE 3 - Toxicita pro specifické cílové orgány (jednorázová expozice), kategorie 3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Corr. 1A - Žíravost pro kůži, kategorie 1A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Corr. 1B - Žíravost pro kůži, kategorie 1B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Irrit. 2 - Dráždivost pro kůži, kategorie 2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Sens. 1 - Senzibilizace kůže, kategorie 1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Sens. 1A - Senzibilizace kůže, kategorie 1A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Skin Sens. 1B - Senzibilizace kůže, kategorie 1B</w:t>
              <w:tab/>
              <w:tab/>
              <w:tab/>
              <w:tab/>
              <w:tab/>
              <w:tab/>
              <w:tab/>
              <w:tab/>
              <w:tab/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Tab1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H věty a EUH věty:</w:t>
            </w:r>
          </w:p>
        </w:tc>
        <w:tc>
          <w:tcPr>
            <w:tcW w:w="7856" w:type="dxa"/>
            <w:tcBorders/>
            <w:vAlign w:val="center"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H225 Vysoce hořlavá kapalina a páry.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H226 Hořlavá kapalina a páry.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H300/310/330 Při požití, při styku s kůží nebo při vdechování může způsobit smrt.</w:t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H301/311/331 Toxický při požití, při styku s kůží nebo při vdechování.</w:t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H302/312 Zdraví škodlivý při požití a při styku s kůží.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H302 Zdraví škodlivý při požití.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H304 Při požití a vniknutí do dýchacích cest může způsobit smrt.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H314 Způsobuje těžké poleptání kůže a poškození očí.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H315 Dráždí kůži.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H317 Může vyvolat alergickou kožní reakci.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H318 Způsobuje vážné poškození očí.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H319 Způsobuje vážné podráždění očí.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H335 Může způsobit podráždění dýchacích cest.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H336 Může způsobit ospalost nebo závratě.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H372 Způsobuje poškození orgánů při prodloužené nebo opakované expozici.</w:t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H400 Vysoce toxický pro vodní organismy.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H411 Toxický pro vodní organismy, s dlouhodobými účinky.</w:t>
              <w:tab/>
              <w:tab/>
              <w:tab/>
              <w:tab/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H412 Škodlivý pro vodní organismy, s dlouhodobými účinky.</w:t>
              <w:tab/>
            </w:r>
            <w:bookmarkStart w:id="8" w:name="_Hlk184910629"/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EUH066 Opakovaná expozice může způsobit vysušení nebo popraskání kůže.</w:t>
              <w:tab/>
              <w:tab/>
            </w:r>
            <w:bookmarkEnd w:id="8"/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ab/>
              <w:tab/>
              <w:tab/>
              <w:tab/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</w:tcPr>
          <w:p>
            <w:pPr>
              <w:pStyle w:val="NormalTab1"/>
              <w:widowControl w:val="false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Zkratky: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ADR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Evropská dohoda o mezinárodní silniční přepravě nebezpečných věcí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CAS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Chemical Abstracts Service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DNEL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Odvozená úroveň expozice bez účinku (derived no-effect level)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EC50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Účinná koncentrace pro 50% (effect concentration for 50%)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EINECS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European Inventory of Existing Commercial Chemical Substances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IATA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sdružení leteckých dopravců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ICAO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Technické pokyny pro bezpečnou leteckou přepravu nebezpečného zboží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IMDG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Mezinárodní předpis o námořní přepravě nebezpečných věcí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LC50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koncentrace pro 50% (lethal concentration for 50%)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LD50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Smrtelná dávka pro 50 % jedinců (lethal dose for 50%)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NPK-P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Nejvyšší přípustná koncentrace na pracovišti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OEL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Occupational Exposure Limit (limit expozice na pracovišti - 8 hod./směna)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PBT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Perzistentní, bioakumulativní, toxický (persistent, bioacumulative, toxic)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PEL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Přípustný expoziční limit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PNEC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Očekávaná koncentrace bez účinku (predicted no-effect concentration)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RID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Řád pro mezinárodní železniční přepravu nebezpečných věcí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SCL</w:t>
            </w:r>
          </w:p>
        </w:tc>
        <w:tc>
          <w:tcPr>
            <w:tcW w:w="7856" w:type="dxa"/>
            <w:tcBorders/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  <w:lang w:val="cs-CZ"/>
              </w:rPr>
            </w:pPr>
            <w:r>
              <w:rPr>
                <w:rFonts w:ascii="Verdana" w:hAnsi="Verdana"/>
                <w:sz w:val="16"/>
                <w:szCs w:val="16"/>
                <w:lang w:val="cs-CZ"/>
              </w:rPr>
              <w:t>Specifické koncentrační limity (specific concentration limit)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STEL</w:t>
            </w:r>
          </w:p>
        </w:tc>
        <w:tc>
          <w:tcPr>
            <w:tcW w:w="7856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Krátkodobá expozice - odpovídá cca 15 min. (Short Term Exposure Limit)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VOC</w:t>
            </w:r>
          </w:p>
        </w:tc>
        <w:tc>
          <w:tcPr>
            <w:tcW w:w="7856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Organické těkavé látky (volatile organic compounds)</w:t>
            </w:r>
          </w:p>
        </w:tc>
      </w:tr>
      <w:tr>
        <w:trPr>
          <w:trHeight w:val="243" w:hRule="atLeast"/>
          <w:cantSplit w:val="true"/>
        </w:trPr>
        <w:tc>
          <w:tcPr>
            <w:tcW w:w="2071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vPvB</w:t>
            </w:r>
          </w:p>
        </w:tc>
        <w:tc>
          <w:tcPr>
            <w:tcW w:w="7856" w:type="dxa"/>
            <w:tcBorders/>
          </w:tcPr>
          <w:p>
            <w:pPr>
              <w:pStyle w:val="NormalTab1"/>
              <w:widowControl w:val="false"/>
              <w:rPr>
                <w:rFonts w:ascii="Verdana" w:hAnsi="Verdana" w:cs="Calibri"/>
                <w:sz w:val="16"/>
                <w:szCs w:val="16"/>
              </w:rPr>
            </w:pPr>
            <w:r>
              <w:rPr>
                <w:rFonts w:cs="Calibri" w:ascii="Verdana" w:hAnsi="Verdana"/>
                <w:sz w:val="16"/>
                <w:szCs w:val="16"/>
              </w:rPr>
              <w:t>Vysoce perzistentní a vysoce bioakumulativní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Důležité odkazy na literaturu a zdroje dat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Odborné databáze a další předpisy související s chemickou legislativou. Bezpečnostní list dodavatele. Webové stránky ECHA.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Klasifikace byla provedena výpočtovou metodou. Byly použity informace o klasifikaci jednotlivých složek směsi – harmonizovaná klasifikace, případně doplněná o údaje z registrační dokumentace.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Pokyny pro školení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Pracovníci, kteří přicházejí do styku s nebezpečnými látkami, musí být v potřebném rozsahu seznámeni s účinky těchto látek, se způsoby jak s nimi zacházet, s ochrannými opatřeními.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spacing w:before="8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Další informace</w:t>
            </w:r>
          </w:p>
        </w:tc>
      </w:tr>
      <w:tr>
        <w:trPr>
          <w:trHeight w:val="243" w:hRule="atLeast"/>
          <w:cantSplit w:val="true"/>
        </w:trPr>
        <w:tc>
          <w:tcPr>
            <w:tcW w:w="9927" w:type="dxa"/>
            <w:gridSpan w:val="2"/>
            <w:tcBorders/>
            <w:vAlign w:val="center"/>
          </w:tcPr>
          <w:p>
            <w:pPr>
              <w:pStyle w:val="NormalTab1"/>
              <w:widowControl w:val="false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Výše uvedené informace popisují podmínky pro bezpečné nakládání s výrobkem a odpovídají současným znalostem dodavatele, slouží jako pokyny pro školení osob s výrobkem nakládajících.</w:t>
            </w:r>
          </w:p>
          <w:p>
            <w:pPr>
              <w:pStyle w:val="NormalTab1"/>
              <w:widowControl w:val="false"/>
              <w:jc w:val="both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</w:r>
          </w:p>
        </w:tc>
      </w:tr>
    </w:tbl>
    <w:p>
      <w:pPr>
        <w:pStyle w:val="Normal"/>
        <w:rPr>
          <w:rFonts w:ascii="Verdana" w:hAnsi="Verdana"/>
          <w:sz w:val="16"/>
          <w:szCs w:val="16"/>
          <w:lang w:val="cs-CZ"/>
        </w:rPr>
      </w:pPr>
      <w:r>
        <w:rPr/>
      </w:r>
    </w:p>
    <w:sectPr>
      <w:headerReference w:type="even" r:id="rId9"/>
      <w:headerReference w:type="default" r:id="rId10"/>
      <w:headerReference w:type="first" r:id="rId11"/>
      <w:footerReference w:type="default" r:id="rId12"/>
      <w:type w:val="nextPage"/>
      <w:pgSz w:w="11906" w:h="16838"/>
      <w:pgMar w:left="1021" w:right="1021" w:gutter="0" w:header="567" w:top="1191" w:footer="567" w:bottom="1021"/>
      <w:pgNumType w:fmt="decimal"/>
      <w:formProt w:val="false"/>
      <w:textDirection w:val="lrTb"/>
      <w:docGrid w:type="default" w:linePitch="272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Verdan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tabs>
        <w:tab w:val="clear" w:pos="9072"/>
        <w:tab w:val="center" w:pos="4536" w:leader="none"/>
        <w:tab w:val="right" w:pos="9639" w:leader="none"/>
      </w:tabs>
      <w:rPr>
        <w:rFonts w:ascii="Verdana" w:hAnsi="Verdana"/>
        <w:sz w:val="16"/>
        <w:szCs w:val="16"/>
      </w:rPr>
    </w:pPr>
    <w:r>
      <w:rPr>
        <w:rStyle w:val="Pagenumber"/>
        <w:lang w:val="cs-CZ"/>
      </w:rPr>
      <w:tab/>
      <w:tab/>
    </w:r>
    <w:r>
      <w:rPr>
        <w:rStyle w:val="Pagenumber"/>
        <w:rFonts w:ascii="Verdana" w:hAnsi="Verdana"/>
        <w:sz w:val="16"/>
        <w:szCs w:val="16"/>
        <w:lang w:val="cs-CZ"/>
      </w:rPr>
      <w:t xml:space="preserve">strana </w:t>
    </w:r>
    <w:r>
      <w:rPr>
        <w:rStyle w:val="Pagenumber"/>
        <w:rFonts w:ascii="Verdana" w:hAnsi="Verdana"/>
        <w:sz w:val="16"/>
        <w:szCs w:val="16"/>
        <w:lang w:val="cs-CZ"/>
      </w:rPr>
      <w:fldChar w:fldCharType="begin"/>
    </w:r>
    <w:r>
      <w:rPr>
        <w:rStyle w:val="Pagenumber"/>
        <w:sz w:val="16"/>
        <w:szCs w:val="16"/>
        <w:rFonts w:ascii="Verdana" w:hAnsi="Verdana"/>
        <w:lang w:val="cs-CZ"/>
      </w:rPr>
      <w:instrText xml:space="preserve"> PAGE </w:instrText>
    </w:r>
    <w:r>
      <w:rPr>
        <w:rStyle w:val="Pagenumber"/>
        <w:sz w:val="16"/>
        <w:szCs w:val="16"/>
        <w:rFonts w:ascii="Verdana" w:hAnsi="Verdana"/>
        <w:lang w:val="cs-CZ"/>
      </w:rPr>
      <w:fldChar w:fldCharType="separate"/>
    </w:r>
    <w:r>
      <w:rPr>
        <w:rStyle w:val="Pagenumber"/>
        <w:sz w:val="16"/>
        <w:szCs w:val="16"/>
        <w:rFonts w:ascii="Verdana" w:hAnsi="Verdana"/>
        <w:lang w:val="cs-CZ"/>
      </w:rPr>
      <w:t>10</w:t>
    </w:r>
    <w:r>
      <w:rPr>
        <w:rStyle w:val="Pagenumber"/>
        <w:sz w:val="16"/>
        <w:szCs w:val="16"/>
        <w:rFonts w:ascii="Verdana" w:hAnsi="Verdana"/>
        <w:lang w:val="cs-CZ"/>
      </w:rPr>
      <w:fldChar w:fldCharType="end"/>
    </w:r>
    <w:r>
      <w:rPr>
        <w:rStyle w:val="Pagenumber"/>
        <w:rFonts w:ascii="Verdana" w:hAnsi="Verdana"/>
        <w:sz w:val="16"/>
        <w:szCs w:val="16"/>
        <w:lang w:val="cs-CZ"/>
      </w:rPr>
      <w:t xml:space="preserve"> / </w:t>
    </w:r>
    <w:r>
      <w:rPr>
        <w:rStyle w:val="Pagenumber"/>
        <w:rFonts w:ascii="Verdana" w:hAnsi="Verdana"/>
        <w:sz w:val="16"/>
        <w:szCs w:val="16"/>
        <w:lang w:val="cs-CZ"/>
      </w:rPr>
      <w:fldChar w:fldCharType="begin"/>
    </w:r>
    <w:r>
      <w:rPr>
        <w:rStyle w:val="Pagenumber"/>
        <w:sz w:val="16"/>
        <w:szCs w:val="16"/>
        <w:rFonts w:ascii="Verdana" w:hAnsi="Verdana"/>
        <w:lang w:val="cs-CZ"/>
      </w:rPr>
      <w:instrText xml:space="preserve"> NUMPAGES </w:instrText>
    </w:r>
    <w:r>
      <w:rPr>
        <w:rStyle w:val="Pagenumber"/>
        <w:sz w:val="16"/>
        <w:szCs w:val="16"/>
        <w:rFonts w:ascii="Verdana" w:hAnsi="Verdana"/>
        <w:lang w:val="cs-CZ"/>
      </w:rPr>
      <w:fldChar w:fldCharType="separate"/>
    </w:r>
    <w:r>
      <w:rPr>
        <w:rStyle w:val="Pagenumber"/>
        <w:sz w:val="16"/>
        <w:szCs w:val="16"/>
        <w:rFonts w:ascii="Verdana" w:hAnsi="Verdana"/>
        <w:lang w:val="cs-CZ"/>
      </w:rPr>
      <w:t>10</w:t>
    </w:r>
    <w:r>
      <w:rPr>
        <w:rStyle w:val="Pagenumber"/>
        <w:sz w:val="16"/>
        <w:szCs w:val="16"/>
        <w:rFonts w:ascii="Verdana" w:hAnsi="Verdana"/>
        <w:lang w:val="cs-CZ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8" wp14:anchorId="75EE913B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7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Zhlav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75EE913B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hlav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23" w:type="dxa"/>
      <w:jc w:val="left"/>
      <w:tblInd w:w="8" w:type="dxa"/>
      <w:tblLayout w:type="fixed"/>
      <w:tblCellMar>
        <w:top w:w="0" w:type="dxa"/>
        <w:left w:w="7" w:type="dxa"/>
        <w:bottom w:w="0" w:type="dxa"/>
        <w:right w:w="7" w:type="dxa"/>
      </w:tblCellMar>
      <w:tblLook w:firstRow="1" w:noVBand="0" w:lastRow="1" w:firstColumn="1" w:lastColumn="1" w:noHBand="0" w:val="01e0"/>
    </w:tblPr>
    <w:tblGrid>
      <w:gridCol w:w="2099"/>
      <w:gridCol w:w="2704"/>
      <w:gridCol w:w="2354"/>
      <w:gridCol w:w="2765"/>
    </w:tblGrid>
    <w:tr>
      <w:trPr>
        <w:trHeight w:val="991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03" w:after="0"/>
            <w:ind w:left="2487" w:right="2456" w:hanging="0"/>
            <w:jc w:val="center"/>
            <w:rPr>
              <w:b/>
              <w:b/>
              <w:sz w:val="28"/>
              <w:lang w:val="cs-CZ"/>
            </w:rPr>
          </w:pPr>
          <w:r>
            <w:rPr>
              <w:b/>
              <w:kern w:val="0"/>
              <w:sz w:val="28"/>
              <w:lang w:val="cs-CZ" w:bidi="ar-SA"/>
            </w:rPr>
            <w:t>BEZPEČNOSTNÍ LIST</w:t>
          </w:r>
        </w:p>
        <w:p>
          <w:pPr>
            <w:pStyle w:val="TableParagraph"/>
            <w:widowControl w:val="false"/>
            <w:suppressAutoHyphens w:val="true"/>
            <w:spacing w:before="122" w:after="0"/>
            <w:ind w:left="2268" w:right="2126" w:hanging="0"/>
            <w:jc w:val="center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podle nařízení Evropského parlamentu a</w:t>
          </w:r>
          <w:r>
            <w:rPr>
              <w:spacing w:val="11"/>
              <w:kern w:val="0"/>
              <w:sz w:val="16"/>
              <w:lang w:val="cs-CZ" w:bidi="ar-SA"/>
            </w:rPr>
            <w:t xml:space="preserve"> </w:t>
          </w:r>
          <w:r>
            <w:rPr>
              <w:kern w:val="0"/>
              <w:sz w:val="16"/>
              <w:lang w:val="cs-CZ" w:bidi="ar-SA"/>
            </w:rPr>
            <w:t>Rady (ES) č. 1907/2006 (REACH) v platném znění</w:t>
          </w:r>
        </w:p>
      </w:tc>
    </w:tr>
    <w:tr>
      <w:trPr>
        <w:trHeight w:val="718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b/>
              <w:b/>
              <w:bCs/>
              <w:sz w:val="24"/>
              <w:szCs w:val="24"/>
              <w:lang w:val="cs-CZ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 xml:space="preserve">Relx Ultra Pod 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>Strawberry Raspberry Cherry</w:t>
          </w:r>
        </w:p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sz w:val="24"/>
              <w:szCs w:val="24"/>
              <w:shd w:fill="FFFF00" w:val="clear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>Relx Ultra Pro KIT Golden,</w:t>
          </w:r>
          <w:r>
            <w:rPr>
              <w:b/>
              <w:bCs/>
              <w:kern w:val="0"/>
              <w:sz w:val="24"/>
              <w:szCs w:val="24"/>
              <w:shd w:fill="FFFFFF" w:val="clear"/>
              <w:lang w:bidi="ar-SA"/>
            </w:rPr>
            <w:t xml:space="preserve"> Relx Ultra KIT Grey</w:t>
          </w:r>
        </w:p>
      </w:tc>
    </w:tr>
    <w:tr>
      <w:trPr>
        <w:trHeight w:val="471" w:hRule="exact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28" w:right="578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19.3.2026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  <w:tc>
        <w:tcPr>
          <w:tcW w:w="235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780" w:right="63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Číslo verze</w:t>
          </w:r>
        </w:p>
      </w:tc>
      <w:tc>
        <w:tcPr>
          <w:tcW w:w="2765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</w:tr>
  </w:tbl>
  <w:p>
    <w:pPr>
      <w:pStyle w:val="Zhlav"/>
      <w:rPr>
        <w:sz w:val="16"/>
        <w:lang w:val="de-DE"/>
      </w:rPr>
    </w:pPr>
    <w:r>
      <w:rPr>
        <w:sz w:val="16"/>
        <w:lang w:val="de-D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923" w:type="dxa"/>
      <w:jc w:val="left"/>
      <w:tblInd w:w="8" w:type="dxa"/>
      <w:tblLayout w:type="fixed"/>
      <w:tblCellMar>
        <w:top w:w="0" w:type="dxa"/>
        <w:left w:w="7" w:type="dxa"/>
        <w:bottom w:w="0" w:type="dxa"/>
        <w:right w:w="7" w:type="dxa"/>
      </w:tblCellMar>
      <w:tblLook w:firstRow="1" w:noVBand="0" w:lastRow="1" w:firstColumn="1" w:lastColumn="1" w:noHBand="0" w:val="01e0"/>
    </w:tblPr>
    <w:tblGrid>
      <w:gridCol w:w="2099"/>
      <w:gridCol w:w="2704"/>
      <w:gridCol w:w="2354"/>
      <w:gridCol w:w="2765"/>
    </w:tblGrid>
    <w:tr>
      <w:trPr>
        <w:trHeight w:val="991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03" w:after="0"/>
            <w:ind w:left="2487" w:right="2456" w:hanging="0"/>
            <w:jc w:val="center"/>
            <w:rPr>
              <w:b/>
              <w:b/>
              <w:sz w:val="28"/>
              <w:lang w:val="cs-CZ"/>
            </w:rPr>
          </w:pPr>
          <w:r>
            <w:rPr>
              <w:b/>
              <w:kern w:val="0"/>
              <w:sz w:val="28"/>
              <w:lang w:val="cs-CZ" w:bidi="ar-SA"/>
            </w:rPr>
            <w:t>BEZPEČNOSTNÍ LIST</w:t>
          </w:r>
        </w:p>
        <w:p>
          <w:pPr>
            <w:pStyle w:val="TableParagraph"/>
            <w:widowControl w:val="false"/>
            <w:suppressAutoHyphens w:val="true"/>
            <w:spacing w:before="122" w:after="0"/>
            <w:ind w:left="2268" w:right="2126" w:hanging="0"/>
            <w:jc w:val="center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podle nařízení Evropského parlamentu a</w:t>
          </w:r>
          <w:r>
            <w:rPr>
              <w:spacing w:val="11"/>
              <w:kern w:val="0"/>
              <w:sz w:val="16"/>
              <w:lang w:val="cs-CZ" w:bidi="ar-SA"/>
            </w:rPr>
            <w:t xml:space="preserve"> </w:t>
          </w:r>
          <w:r>
            <w:rPr>
              <w:kern w:val="0"/>
              <w:sz w:val="16"/>
              <w:lang w:val="cs-CZ" w:bidi="ar-SA"/>
            </w:rPr>
            <w:t>Rady (ES) č. 1907/2006 (REACH) v platném znění</w:t>
          </w:r>
        </w:p>
      </w:tc>
    </w:tr>
    <w:tr>
      <w:trPr>
        <w:trHeight w:val="718" w:hRule="exact"/>
      </w:trPr>
      <w:tc>
        <w:tcPr>
          <w:tcW w:w="9922" w:type="dxa"/>
          <w:gridSpan w:val="4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b/>
              <w:b/>
              <w:bCs/>
              <w:sz w:val="24"/>
              <w:szCs w:val="24"/>
              <w:lang w:val="cs-CZ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 xml:space="preserve">Relx Ultra Pod </w:t>
          </w:r>
          <w:r>
            <w:rPr>
              <w:b/>
              <w:bCs/>
              <w:kern w:val="0"/>
              <w:sz w:val="24"/>
              <w:szCs w:val="24"/>
              <w:lang w:val="cs-CZ" w:bidi="ar-SA"/>
            </w:rPr>
            <w:t>Strawberry Raspberry Cherry</w:t>
          </w:r>
        </w:p>
        <w:p>
          <w:pPr>
            <w:pStyle w:val="TableParagraph"/>
            <w:widowControl w:val="false"/>
            <w:suppressAutoHyphens w:val="true"/>
            <w:spacing w:before="13" w:after="0"/>
            <w:ind w:left="1134" w:right="1134" w:hanging="0"/>
            <w:jc w:val="center"/>
            <w:rPr>
              <w:sz w:val="24"/>
              <w:szCs w:val="24"/>
              <w:shd w:fill="FFFF00" w:val="clear"/>
            </w:rPr>
          </w:pPr>
          <w:r>
            <w:rPr>
              <w:b/>
              <w:bCs/>
              <w:kern w:val="0"/>
              <w:sz w:val="24"/>
              <w:szCs w:val="24"/>
              <w:lang w:bidi="ar-SA"/>
            </w:rPr>
            <w:t>Relx Ultra Pro KIT Golden,</w:t>
          </w:r>
          <w:r>
            <w:rPr>
              <w:b/>
              <w:bCs/>
              <w:kern w:val="0"/>
              <w:sz w:val="24"/>
              <w:szCs w:val="24"/>
              <w:shd w:fill="FFFFFF" w:val="clear"/>
              <w:lang w:bidi="ar-SA"/>
            </w:rPr>
            <w:t xml:space="preserve"> Relx Ultra KIT Grey</w:t>
          </w:r>
        </w:p>
      </w:tc>
    </w:tr>
    <w:tr>
      <w:trPr>
        <w:trHeight w:val="471" w:hRule="exact"/>
      </w:trPr>
      <w:tc>
        <w:tcPr>
          <w:tcW w:w="2099" w:type="dxa"/>
          <w:tcBorders>
            <w:top w:val="single" w:sz="6" w:space="0" w:color="000000"/>
            <w:left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28" w:right="578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Datum vytvoření Datum revize</w:t>
          </w:r>
        </w:p>
      </w:tc>
      <w:tc>
        <w:tcPr>
          <w:tcW w:w="270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19.3.2026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594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  <w:tc>
        <w:tcPr>
          <w:tcW w:w="2354" w:type="dxa"/>
          <w:tcBorders>
            <w:top w:val="single" w:sz="6" w:space="0" w:color="000000"/>
            <w:bottom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lineRule="auto" w:line="276" w:before="0" w:after="0"/>
            <w:ind w:left="780" w:right="634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Číslo verze</w:t>
          </w:r>
        </w:p>
      </w:tc>
      <w:tc>
        <w:tcPr>
          <w:tcW w:w="2765" w:type="dxa"/>
          <w:tcBorders>
            <w:top w:val="single" w:sz="6" w:space="0" w:color="000000"/>
            <w:bottom w:val="single" w:sz="6" w:space="0" w:color="000000"/>
            <w:right w:val="single" w:sz="6" w:space="0" w:color="000000"/>
          </w:tcBorders>
        </w:tcPr>
        <w:p>
          <w:pPr>
            <w:pStyle w:val="TableParagraph"/>
            <w:widowControl w:val="false"/>
            <w:suppressAutoHyphens w:val="true"/>
            <w:spacing w:before="13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kern w:val="0"/>
              <w:sz w:val="16"/>
              <w:lang w:val="cs-CZ" w:bidi="ar-SA"/>
            </w:rPr>
            <w:t>1</w:t>
          </w:r>
        </w:p>
        <w:p>
          <w:pPr>
            <w:pStyle w:val="TableParagraph"/>
            <w:widowControl w:val="false"/>
            <w:suppressAutoHyphens w:val="true"/>
            <w:spacing w:before="17" w:after="0"/>
            <w:ind w:left="650" w:hanging="0"/>
            <w:jc w:val="left"/>
            <w:rPr>
              <w:sz w:val="16"/>
              <w:lang w:val="cs-CZ"/>
            </w:rPr>
          </w:pPr>
          <w:r>
            <w:rPr>
              <w:sz w:val="16"/>
              <w:lang w:val="cs-CZ"/>
            </w:rPr>
          </w:r>
        </w:p>
      </w:tc>
    </w:tr>
  </w:tbl>
  <w:p>
    <w:pPr>
      <w:pStyle w:val="Zhlav"/>
      <w:rPr>
        <w:sz w:val="16"/>
        <w:lang w:val="de-DE"/>
      </w:rPr>
    </w:pPr>
    <w:r>
      <w:rPr>
        <w:sz w:val="16"/>
        <w:lang w:val="de-DE"/>
      </w:rPr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doNotHyphenateCaps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en-US" w:eastAsia="cs-CZ" w:bidi="ar-SA"/>
    </w:rPr>
  </w:style>
  <w:style w:type="paragraph" w:styleId="Nadpis1">
    <w:name w:val="Heading 1"/>
    <w:basedOn w:val="Normal"/>
    <w:next w:val="Normal"/>
    <w:qFormat/>
    <w:pPr>
      <w:keepNext w:val="true"/>
      <w:spacing w:before="240" w:after="60"/>
      <w:outlineLvl w:val="0"/>
    </w:pPr>
    <w:rPr>
      <w:rFonts w:ascii="Arial" w:hAnsi="Arial"/>
      <w:b/>
      <w:kern w:val="2"/>
      <w:sz w:val="28"/>
    </w:rPr>
  </w:style>
  <w:style w:type="paragraph" w:styleId="Nadpis2">
    <w:name w:val="Heading 2"/>
    <w:basedOn w:val="Normal"/>
    <w:next w:val="Normal"/>
    <w:qFormat/>
    <w:pPr>
      <w:keepNext w:val="true"/>
      <w:outlineLvl w:val="1"/>
    </w:pPr>
    <w:rPr>
      <w:b/>
      <w:bCs/>
      <w:i/>
      <w:iCs/>
      <w:lang w:val="cs-CZ"/>
    </w:rPr>
  </w:style>
  <w:style w:type="paragraph" w:styleId="Nadpis3">
    <w:name w:val="Heading 3"/>
    <w:basedOn w:val="Normal"/>
    <w:next w:val="Normal"/>
    <w:qFormat/>
    <w:pPr>
      <w:keepNext w:val="true"/>
      <w:spacing w:before="60" w:after="0"/>
      <w:outlineLvl w:val="2"/>
    </w:pPr>
    <w:rPr>
      <w:b/>
      <w:bCs/>
      <w:lang w:val="cs-CZ"/>
    </w:rPr>
  </w:style>
  <w:style w:type="paragraph" w:styleId="Nadpis4">
    <w:name w:val="Heading 4"/>
    <w:basedOn w:val="Normal"/>
    <w:next w:val="Normal"/>
    <w:qFormat/>
    <w:pPr>
      <w:keepNext w:val="true"/>
      <w:jc w:val="both"/>
      <w:outlineLvl w:val="3"/>
    </w:pPr>
    <w:rPr>
      <w:b/>
      <w:bCs/>
      <w:i/>
      <w:iCs/>
      <w:lang w:val="cs-CZ"/>
    </w:rPr>
  </w:style>
  <w:style w:type="paragraph" w:styleId="Nadpis5">
    <w:name w:val="Heading 5"/>
    <w:basedOn w:val="Normal"/>
    <w:next w:val="Normal"/>
    <w:qFormat/>
    <w:pPr>
      <w:keepNext w:val="true"/>
      <w:jc w:val="center"/>
      <w:outlineLvl w:val="4"/>
    </w:pPr>
    <w:rPr>
      <w:b/>
      <w:i/>
      <w:lang w:val="cs-CZ"/>
    </w:rPr>
  </w:style>
  <w:style w:type="paragraph" w:styleId="Nadpis6">
    <w:name w:val="Heading 6"/>
    <w:basedOn w:val="Normal"/>
    <w:next w:val="Normal"/>
    <w:qFormat/>
    <w:pPr>
      <w:keepNext w:val="true"/>
      <w:jc w:val="center"/>
      <w:outlineLvl w:val="5"/>
    </w:pPr>
    <w:rPr>
      <w:b/>
      <w:bCs/>
      <w:lang w:val="de-DE"/>
    </w:rPr>
  </w:style>
  <w:style w:type="paragraph" w:styleId="Nadpis7">
    <w:name w:val="Heading 7"/>
    <w:basedOn w:val="Normal"/>
    <w:next w:val="Normal"/>
    <w:qFormat/>
    <w:pPr>
      <w:keepNext w:val="true"/>
      <w:jc w:val="center"/>
      <w:outlineLvl w:val="6"/>
    </w:pPr>
    <w:rPr>
      <w:b/>
      <w:sz w:val="22"/>
      <w:lang w:val="de-DE"/>
    </w:rPr>
  </w:style>
  <w:style w:type="paragraph" w:styleId="Nadpis8">
    <w:name w:val="Heading 8"/>
    <w:basedOn w:val="Normal"/>
    <w:next w:val="Normal"/>
    <w:qFormat/>
    <w:pPr>
      <w:keepNext w:val="true"/>
      <w:outlineLvl w:val="7"/>
    </w:pPr>
    <w:rPr>
      <w:b/>
      <w:bCs/>
      <w:sz w:val="22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semiHidden/>
    <w:qFormat/>
    <w:rPr/>
  </w:style>
  <w:style w:type="character" w:styleId="Internetovodkaz">
    <w:name w:val="Hyperlink"/>
    <w:semiHidden/>
    <w:rPr>
      <w:color w:val="0000FF"/>
      <w:u w:val="single"/>
    </w:rPr>
  </w:style>
  <w:style w:type="character" w:styleId="ZpatChar" w:customStyle="1">
    <w:name w:val="Zápatí Char"/>
    <w:qFormat/>
    <w:rsid w:val="00d5499d"/>
    <w:rPr>
      <w:lang w:val="en-US"/>
    </w:rPr>
  </w:style>
  <w:style w:type="character" w:styleId="Strong">
    <w:name w:val="Strong"/>
    <w:uiPriority w:val="22"/>
    <w:qFormat/>
    <w:rsid w:val="00814291"/>
    <w:rPr>
      <w:b/>
      <w:bCs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07220"/>
    <w:rPr>
      <w:rFonts w:ascii="Tahoma" w:hAnsi="Tahoma" w:cs="Tahoma"/>
      <w:sz w:val="16"/>
      <w:szCs w:val="16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552e5"/>
    <w:rPr>
      <w:color w:val="605E5C"/>
      <w:shd w:fill="E1DFDD" w:val="clear"/>
    </w:rPr>
  </w:style>
  <w:style w:type="paragraph" w:styleId="Nadpis" w:customStyle="1">
    <w:name w:val="Nadpis"/>
    <w:basedOn w:val="Normal"/>
    <w:next w:val="Tlotextu"/>
    <w:qFormat/>
    <w:pPr>
      <w:keepNext w:val="true"/>
      <w:keepLines/>
      <w:spacing w:before="144" w:after="72"/>
      <w:jc w:val="center"/>
    </w:pPr>
    <w:rPr>
      <w:rFonts w:ascii="Arial" w:hAnsi="Arial"/>
      <w:b/>
      <w:sz w:val="36"/>
    </w:rPr>
  </w:style>
  <w:style w:type="paragraph" w:styleId="Tlotextu">
    <w:name w:val="Body Text"/>
    <w:basedOn w:val="Normal"/>
    <w:uiPriority w:val="1"/>
    <w:qFormat/>
    <w:pPr/>
    <w:rPr>
      <w:sz w:val="24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 w:customStyle="1">
    <w:name w:val="Rejstřík"/>
    <w:basedOn w:val="Normal"/>
    <w:qFormat/>
    <w:pPr>
      <w:suppressLineNumbers/>
    </w:pPr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Zhlavazpat" w:customStyle="1">
    <w:name w:val="Záhlaví a zápatí"/>
    <w:basedOn w:val="Normal"/>
    <w:qFormat/>
    <w:pPr/>
    <w:rPr/>
  </w:style>
  <w:style w:type="paragraph" w:styleId="Zpat">
    <w:name w:val="Footer"/>
    <w:basedOn w:val="Normal"/>
    <w:link w:val="ZpatChar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naka" w:customStyle="1">
    <w:name w:val="Znaèka"/>
    <w:basedOn w:val="Normal"/>
    <w:qFormat/>
    <w:pPr/>
    <w:rPr>
      <w:sz w:val="24"/>
    </w:rPr>
  </w:style>
  <w:style w:type="paragraph" w:styleId="Texttabulky" w:customStyle="1">
    <w:name w:val="Text tabulky"/>
    <w:basedOn w:val="Normal"/>
    <w:qFormat/>
    <w:pPr>
      <w:tabs>
        <w:tab w:val="clear" w:pos="709"/>
        <w:tab w:val="left" w:pos="450" w:leader="none"/>
        <w:tab w:val="left" w:pos="5685" w:leader="none"/>
        <w:tab w:val="left" w:pos="6840" w:leader="none"/>
        <w:tab w:val="left" w:pos="7980" w:leader="none"/>
        <w:tab w:val="left" w:pos="9105" w:leader="none"/>
      </w:tabs>
      <w:jc w:val="both"/>
    </w:pPr>
    <w:rPr>
      <w:sz w:val="18"/>
    </w:rPr>
  </w:style>
  <w:style w:type="paragraph" w:styleId="Pata" w:customStyle="1">
    <w:name w:val="Pata"/>
    <w:basedOn w:val="Normal"/>
    <w:qFormat/>
    <w:pPr/>
    <w:rPr>
      <w:sz w:val="24"/>
    </w:rPr>
  </w:style>
  <w:style w:type="paragraph" w:styleId="Zhlav">
    <w:name w:val="Header"/>
    <w:basedOn w:val="Normal"/>
    <w:semiHidden/>
    <w:pPr/>
    <w:rPr>
      <w:sz w:val="24"/>
    </w:rPr>
  </w:style>
  <w:style w:type="paragraph" w:styleId="Podnadpis1" w:customStyle="1">
    <w:name w:val="Podnadpis1"/>
    <w:basedOn w:val="Normal"/>
    <w:qFormat/>
    <w:pPr>
      <w:spacing w:before="72" w:after="72"/>
    </w:pPr>
    <w:rPr>
      <w:b/>
      <w:i/>
      <w:sz w:val="24"/>
    </w:rPr>
  </w:style>
  <w:style w:type="paragraph" w:styleId="Sloseznamu" w:customStyle="1">
    <w:name w:val="Èíslo seznamu"/>
    <w:basedOn w:val="Normal"/>
    <w:qFormat/>
    <w:pPr/>
    <w:rPr>
      <w:sz w:val="24"/>
    </w:rPr>
  </w:style>
  <w:style w:type="paragraph" w:styleId="Znaka1" w:customStyle="1">
    <w:name w:val="Znaèka 1"/>
    <w:basedOn w:val="Normal"/>
    <w:qFormat/>
    <w:pPr/>
    <w:rPr>
      <w:sz w:val="24"/>
    </w:rPr>
  </w:style>
  <w:style w:type="paragraph" w:styleId="Dka" w:customStyle="1">
    <w:name w:val="Øádka"/>
    <w:basedOn w:val="Normal"/>
    <w:qFormat/>
    <w:pPr/>
    <w:rPr>
      <w:sz w:val="24"/>
    </w:rPr>
  </w:style>
  <w:style w:type="paragraph" w:styleId="Zvr" w:customStyle="1">
    <w:name w:val="závìr"/>
    <w:basedOn w:val="Normal"/>
    <w:qFormat/>
    <w:pPr>
      <w:jc w:val="both"/>
    </w:pPr>
    <w:rPr/>
  </w:style>
  <w:style w:type="paragraph" w:styleId="Nadpisy" w:customStyle="1">
    <w:name w:val="nadpisy"/>
    <w:basedOn w:val="Normal"/>
    <w:qFormat/>
    <w:pPr>
      <w:spacing w:before="0" w:after="60"/>
      <w:jc w:val="both"/>
    </w:pPr>
    <w:rPr>
      <w:rFonts w:ascii="Arial" w:hAnsi="Arial"/>
      <w:b/>
      <w:sz w:val="18"/>
      <w:lang w:val="cs-CZ"/>
    </w:rPr>
  </w:style>
  <w:style w:type="paragraph" w:styleId="DefaultText" w:customStyle="1">
    <w:name w:val="Default Text"/>
    <w:basedOn w:val="Normal"/>
    <w:qFormat/>
    <w:pPr/>
    <w:rPr>
      <w:sz w:val="18"/>
    </w:rPr>
  </w:style>
  <w:style w:type="paragraph" w:styleId="Adresa" w:customStyle="1">
    <w:name w:val="adresa"/>
    <w:basedOn w:val="DefaultText"/>
    <w:qFormat/>
    <w:pPr>
      <w:jc w:val="center"/>
    </w:pPr>
    <w:rPr>
      <w:sz w:val="22"/>
    </w:rPr>
  </w:style>
  <w:style w:type="paragraph" w:styleId="Textlatky" w:customStyle="1">
    <w:name w:val="text latky"/>
    <w:basedOn w:val="Nadpisy"/>
    <w:qFormat/>
    <w:pPr>
      <w:spacing w:before="40" w:after="40"/>
    </w:pPr>
    <w:rPr>
      <w:rFonts w:ascii="Times New Roman" w:hAnsi="Times New Roman"/>
      <w:b w:val="false"/>
    </w:rPr>
  </w:style>
  <w:style w:type="paragraph" w:styleId="MolecularFormula" w:customStyle="1">
    <w:name w:val="Molecular Formula"/>
    <w:basedOn w:val="DefaultText"/>
    <w:qFormat/>
    <w:pPr/>
    <w:rPr>
      <w:sz w:val="20"/>
    </w:rPr>
  </w:style>
  <w:style w:type="paragraph" w:styleId="Normaltab" w:customStyle="1">
    <w:name w:val="Normaltab"/>
    <w:basedOn w:val="Normal"/>
    <w:qFormat/>
    <w:pPr/>
    <w:rPr>
      <w:lang w:val="cs-CZ" w:eastAsia="en-US"/>
    </w:rPr>
  </w:style>
  <w:style w:type="paragraph" w:styleId="NormalTab1" w:customStyle="1">
    <w:name w:val="NormalTab"/>
    <w:basedOn w:val="Normal"/>
    <w:qFormat/>
    <w:pPr>
      <w:textAlignment w:val="baseline"/>
    </w:pPr>
    <w:rPr>
      <w:lang w:val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07220"/>
    <w:pPr/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707220"/>
    <w:pPr>
      <w:widowControl w:val="false"/>
      <w:ind w:left="56" w:hanging="0"/>
    </w:pPr>
    <w:rPr>
      <w:rFonts w:ascii="Verdana" w:hAnsi="Verdana" w:eastAsia="Verdana" w:cs="Verdana"/>
      <w:sz w:val="22"/>
      <w:szCs w:val="22"/>
      <w:lang w:eastAsia="en-US"/>
    </w:rPr>
  </w:style>
  <w:style w:type="paragraph" w:styleId="Obsahrmce" w:customStyle="1">
    <w:name w:val="Obsah rámce"/>
    <w:basedOn w:val="Normal"/>
    <w:qFormat/>
    <w:pPr/>
    <w:rPr/>
  </w:style>
  <w:style w:type="paragraph" w:styleId="ListParagraph">
    <w:name w:val="List Paragraph"/>
    <w:basedOn w:val="Normal"/>
    <w:uiPriority w:val="34"/>
    <w:qFormat/>
    <w:rsid w:val="009d4e43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07220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5d731c"/>
    <w:rPr>
      <w:rFonts w:asciiTheme="minorHAnsi" w:hAnsiTheme="minorHAnsi" w:eastAsiaTheme="minorHAnsi" w:cstheme="minorBidi"/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@4ages.cz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jpeg"/><Relationship Id="rId6" Type="http://schemas.openxmlformats.org/officeDocument/2006/relationships/image" Target="media/image3.jpeg"/><Relationship Id="rId7" Type="http://schemas.openxmlformats.org/officeDocument/2006/relationships/image" Target="media/image3.jpeg"/><Relationship Id="rId8" Type="http://schemas.openxmlformats.org/officeDocument/2006/relationships/image" Target="media/image3.jpe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" Version="2008"/>
</file>

<file path=customXml/itemProps1.xml><?xml version="1.0" encoding="utf-8"?>
<ds:datastoreItem xmlns:ds="http://schemas.openxmlformats.org/officeDocument/2006/customXml" ds:itemID="{F3D7CC15-4BEE-415C-8142-5848221C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LibreOffice/7.4.3.2$Windows_X86_64 LibreOffice_project/1048a8393ae2eeec98dff31b5c133c5f1d08b890</Application>
  <AppVersion>15.0000</AppVersion>
  <Pages>10</Pages>
  <Words>3710</Words>
  <Characters>22131</Characters>
  <CharactersWithSpaces>25347</CharactersWithSpaces>
  <Paragraphs>693</Paragraphs>
  <Company>VUOS a.s.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2026-03-19T12:35:00Z</dcterms:created>
  <dc:creator>Martin Kaska</dc:creator>
  <dc:description/>
  <dc:language>cs-CZ</dc:language>
  <cp:lastModifiedBy/>
  <cp:lastPrinted>2024-01-29T14:28:00Z</cp:lastPrinted>
  <dcterms:modified xsi:type="dcterms:W3CDTF">2026-06-18T12:38:44Z</dcterms:modified>
  <cp:revision>19</cp:revision>
  <dc:subject/>
  <dc:title>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