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31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70"/>
        <w:gridCol w:w="2835"/>
        <w:gridCol w:w="6526"/>
      </w:tblGrid>
      <w:tr>
        <w:trPr>
          <w:trHeight w:val="340" w:hRule="atLeast"/>
          <w:cantSplit w:val="true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adpis8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>
        <w:trPr>
          <w:trHeight w:val="27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Relx Ultra Pod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Blueberry Sour Raspberry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Relx Ultra Pro KIT Black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Relx Ultra KIT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Purple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9AM0-P0TQ-F00A-NY8J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Borůvka Malina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tcBorders/>
            <w:vAlign w:val="center"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MolecularFormula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2">
              <w:r>
                <w:rPr>
                  <w:rStyle w:val="Interne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2" w:leader="none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  <w:tab/>
              <w:t>+420-224919293</w:t>
            </w:r>
          </w:p>
          <w:p>
            <w:pPr>
              <w:pStyle w:val="MolecularFormula"/>
              <w:widowControl w:val="false"/>
              <w:tabs>
                <w:tab w:val="clear" w:pos="709"/>
                <w:tab w:val="left" w:pos="1132" w:leader="none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>
            <w:pPr>
              <w:pStyle w:val="MolecularFormula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>
      <w:pPr>
        <w:pStyle w:val="MolecularFormula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7"/>
        <w:gridCol w:w="2795"/>
        <w:gridCol w:w="6568"/>
      </w:tblGrid>
      <w:tr>
        <w:trPr>
          <w:trHeight w:val="340" w:hRule="atLeast"/>
          <w:cantSplit w:val="true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Borders/>
            <w:tcMar>
              <w:left w:w="85" w:type="dxa"/>
              <w:right w:w="8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4; H302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Eye Irrit. 2; H319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>
        <w:trPr>
          <w:trHeight w:val="1183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center" w:pos="2865" w:leader="none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52145" cy="664210"/>
                  <wp:effectExtent l="0" t="0" r="0" b="0"/>
                  <wp:docPr id="1" name="Obrázek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VAROVÁNÍ</w:t>
            </w:r>
          </w:p>
        </w:tc>
      </w:tr>
      <w:tr>
        <w:trPr>
          <w:trHeight w:val="8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</w:p>
        </w:tc>
      </w:tr>
      <w:tr>
        <w:trPr>
          <w:trHeight w:val="8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  <w:tcBorders/>
          </w:tcPr>
          <w:p>
            <w:pPr>
              <w:pStyle w:val="Normal"/>
              <w:widowControl w:val="false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>
            <w:pPr>
              <w:pStyle w:val="Normal"/>
              <w:widowControl w:val="false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>
        <w:trPr>
          <w:trHeight w:val="13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nikotin (ISO); 3-hydroxy-2-methyl-4-pyron</w:t>
            </w:r>
          </w:p>
        </w:tc>
      </w:tr>
      <w:tr>
        <w:trPr>
          <w:trHeight w:val="79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ind w:left="524" w:hanging="524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EUH208 Obsahuje Linalool. Může vyvolat alergickou reakci.</w:t>
            </w:r>
          </w:p>
          <w:p>
            <w:pPr>
              <w:pStyle w:val="Normal"/>
              <w:widowControl w:val="false"/>
              <w:ind w:left="524" w:hanging="524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r>
          </w:p>
        </w:tc>
      </w:tr>
      <w:tr>
        <w:trPr>
          <w:trHeight w:val="128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>
        <w:trPr>
          <w:trHeight w:val="63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 xml:space="preserve">Tento produkt neobsahuje SVHC látku v koncentraci 0,1% hmotnostních nebo vyšší. </w:t>
            </w:r>
          </w:p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>Tento produkt neobsahuje endokrinní disruptory v koncentraci 0,1% hmotnostních nebo vyšší.</w:t>
            </w:r>
          </w:p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>Tento produkt neobsahuje žádné látky, které jsou vyhodnoceny jako PMT/vPvM v koncentraci 0,1 % hmotnostních nebo vyšší.</w:t>
              <w:tab/>
            </w:r>
          </w:p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>Tento produkt neobsahuje žádné látky, které jsou vyhodnoceny jako PBT/vPvB v koncentraci 0,1 % hmotnostních nebo vyšší.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40" w:hRule="atLeast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>
        <w:trPr>
          <w:trHeight w:val="270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>
            <w:pPr>
              <w:pStyle w:val="Normal"/>
              <w:widowControl w:val="false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>
        <w:trPr>
          <w:trHeight w:val="1701" w:hRule="atLeast"/>
        </w:trPr>
        <w:tc>
          <w:tcPr>
            <w:tcW w:w="9930" w:type="dxa"/>
            <w:gridSpan w:val="3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  <w:tbl>
            <w:tblPr>
              <w:tblW w:w="9828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3874"/>
              <w:gridCol w:w="990"/>
              <w:gridCol w:w="1420"/>
              <w:gridCol w:w="2123"/>
              <w:gridCol w:w="1421"/>
            </w:tblGrid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bottom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  <w:br/>
                    <w:t>EINECS</w:t>
                    <w:br/>
                    <w:t>Index N°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0%253AJ90"/>
                  <w:r>
                    <w:rPr>
                      <w:rFonts w:cs="Calibri" w:ascii="Verdana" w:hAnsi="Verdana"/>
                      <w:sz w:val="16"/>
                      <w:szCs w:val="16"/>
                    </w:rPr>
                    <w:t>Propan-1,2-diol</w:t>
                  </w:r>
                  <w:bookmarkEnd w:id="1"/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52,75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57-55-6</w:t>
                    <w:br/>
                    <w:t>200-338-0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Glycerol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37,81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56-81-5</w:t>
                    <w:br/>
                    <w:t>200-289-5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Triacetin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1,83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102-76-1</w:t>
                    <w:br/>
                    <w:t>203-051-9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1,79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51115-67-4</w:t>
                    <w:br/>
                    <w:t>256-974-4</w:t>
                    <w:br/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H302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nikotin (ISO) *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54-11-5</w:t>
                    <w:br/>
                    <w:t>200-193-3</w:t>
                    <w:br/>
                    <w:t>614-001-00-4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oral</w:t>
                    <w:br/>
                    <w:t>5 mg/kg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dermal</w:t>
                    <w:br/>
                    <w:t>70 mg/kg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inhal(d)</w:t>
                    <w:br/>
                    <w:t>0.19 mg/L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Aquatic Chronic 2</w:t>
                    <w:br/>
                    <w:t>Eye Dam. 1</w:t>
                    <w:br/>
                    <w:t>Skin Irrit. 2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H300/310/330</w:t>
                    <w:br/>
                    <w:br/>
                    <w:br/>
                    <w:br/>
                    <w:br/>
                    <w:br/>
                    <w:br/>
                    <w:t>H411</w:t>
                    <w:br/>
                    <w:t>H318</w:t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Benzoová kyselina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0,91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65-85-0</w:t>
                    <w:br/>
                    <w:t>200-618-2</w:t>
                    <w:br/>
                    <w:t>607-705-00-8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Dam. 1</w:t>
                    <w:br/>
                    <w:t>STOT RE 1</w:t>
                    <w:br/>
                    <w:t>Skin Irrit. 2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H318</w:t>
                    <w:br/>
                    <w:t>H372</w:t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Ethyl butyrát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0,81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105-54-4</w:t>
                    <w:br/>
                    <w:t>203-306-4</w:t>
                    <w:br/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Flam. Liq. 3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H226</w:t>
                  </w:r>
                </w:p>
              </w:tc>
            </w:tr>
            <w:tr>
              <w:trPr>
                <w:trHeight w:val="2083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Kyselina octová *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0,43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64-19-7</w:t>
                    <w:br/>
                    <w:t>200-580-7</w:t>
                    <w:br/>
                    <w:t>607-002-00-6</w:t>
                    <w:br/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Flam. Liq. 3</w:t>
                    <w:br/>
                    <w:t>Skin Corr. 1A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C ≥ 90%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Corr. 1B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25% ≤ C &lt; 90%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Poznámka B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br/>
                    <w:t>H226</w:t>
                    <w:br/>
                    <w:t>H314</w:t>
                    <w:br/>
                    <w:br/>
                    <w:t>H314</w:t>
                    <w:br/>
                    <w:br/>
                    <w:t>H315</w:t>
                  </w:r>
                </w:p>
              </w:tc>
            </w:tr>
            <w:tr>
              <w:trPr>
                <w:trHeight w:val="696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isopentyl-acetát *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0,41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123-92-2</w:t>
                    <w:br/>
                    <w:t>204-662-3</w:t>
                    <w:br/>
                    <w:t>607-130-00-2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  <w:br/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Poznámka C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  <w:br/>
                    <w:t>EUH066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Cis-hex-3-en-1-ol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0,24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928-96-1</w:t>
                    <w:br/>
                    <w:t>213-192-8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Flam. Liq. 3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3-hydroxy-2-methyl-4-pyron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0,15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118-71-8</w:t>
                    <w:br/>
                    <w:t>204-271-8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H302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Vanillin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0,15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121-33-5</w:t>
                    <w:br/>
                    <w:t>204-465-2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Dekan-4-olid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0,12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706-14-9</w:t>
                    <w:br/>
                    <w:t>211-892-8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(Z)-hex-3-enyl-acetát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3681-71-8</w:t>
                    <w:br/>
                    <w:t>222-960-1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Linalool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78-70-6</w:t>
                    <w:br/>
                    <w:t>201-134-4</w:t>
                    <w:br/>
                    <w:t>603-235-00-2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Skin Irrit. 2</w:t>
                    <w:br/>
                    <w:t>Skin Sens. 1B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H315</w:t>
                    <w:br/>
                    <w:t>H317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Kyselina propionová *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0,09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79-09-4</w:t>
                    <w:br/>
                    <w:t>201-176-3</w:t>
                    <w:br/>
                    <w:t>607-089-00-0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STOT SE 3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C ≥ 10%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Corr. 1B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C ≥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br/>
                    <w:t>H335</w:t>
                    <w:br/>
                    <w:br/>
                    <w:t>H314</w:t>
                    <w:br/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isobutyl-acetát *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0,06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110-19-0</w:t>
                    <w:br/>
                    <w:t>203-745-1</w:t>
                    <w:br/>
                    <w:t>607-026-00-7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2</w:t>
                    <w:br/>
                    <w:t>STOT SE 3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H225</w:t>
                    <w:br/>
                    <w:t>H336</w:t>
                    <w:br/>
                    <w:t>EUH066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3-methylbutan-1-ol *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0,04</w:t>
                  </w:r>
                </w:p>
              </w:tc>
              <w:tc>
                <w:tcPr>
                  <w:tcW w:w="1420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123-51-3</w:t>
                    <w:br/>
                    <w:t>204-633-5</w:t>
                  </w:r>
                </w:p>
              </w:tc>
              <w:tc>
                <w:tcPr>
                  <w:tcW w:w="21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  <w:br/>
                    <w:t>Eye Dam. 1</w:t>
                    <w:br/>
                    <w:t>Flam. Liq. 3</w:t>
                    <w:br/>
                    <w:t>STOT SE 3</w:t>
                    <w:br/>
                    <w:t>Skin Irrit. 2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H332</w:t>
                    <w:br/>
                    <w:t>H318</w:t>
                    <w:br/>
                    <w:t>H226</w:t>
                    <w:br/>
                    <w:t>H335</w:t>
                    <w:br/>
                    <w:t>H315</w:t>
                    <w:br/>
                    <w:t>EUH066</w:t>
                  </w:r>
                </w:p>
              </w:tc>
            </w:tr>
            <w:tr>
              <w:trPr>
                <w:trHeight w:val="1670" w:hRule="atLeast"/>
                <w:cantSplit w:val="true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 w:cstheme="minorHAnsi"/>
                      <w:i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>
                    <w:rPr>
                      <w:rFonts w:cs="Calibri"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>
                  <w:pPr>
                    <w:pStyle w:val="Normal"/>
                    <w:widowControl w:val="false"/>
                    <w:rPr>
                      <w:rFonts w:ascii="Verdana" w:hAnsi="Verdana" w:cs="Calibri" w:cstheme="minorHAnsi"/>
                      <w:i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>
                  <w:pPr>
                    <w:pStyle w:val="Normal"/>
                    <w:widowControl w:val="false"/>
                    <w:rPr>
                      <w:rFonts w:ascii="Verdana" w:hAnsi="Verdana" w:cs="Calibri" w:cstheme="minorHAnsi"/>
                      <w:i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>
            <w:pPr>
              <w:pStyle w:val="Normal"/>
              <w:widowControl w:val="false"/>
              <w:spacing w:before="20" w:after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>
        <w:trPr>
          <w:trHeight w:val="340" w:hRule="atLeast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>
        <w:trPr>
          <w:trHeight w:val="153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/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>
        <w:trPr/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>
        <w:trPr>
          <w:trHeight w:val="414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7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7"/>
        <w:gridCol w:w="1660"/>
        <w:gridCol w:w="7700"/>
      </w:tblGrid>
      <w:tr>
        <w:trPr>
          <w:trHeight w:val="340" w:hRule="atLeast"/>
          <w:cantSplit w:val="true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5.1</w:t>
            </w:r>
          </w:p>
        </w:tc>
        <w:tc>
          <w:tcPr>
            <w:tcW w:w="9360" w:type="dxa"/>
            <w:gridSpan w:val="2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700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700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5.2</w:t>
            </w:r>
          </w:p>
        </w:tc>
        <w:tc>
          <w:tcPr>
            <w:tcW w:w="9360" w:type="dxa"/>
            <w:gridSpan w:val="2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(pyrolýzních) produktů může způsobit vážné poškození zdraví.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60" w:type="dxa"/>
            <w:gridSpan w:val="2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7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7"/>
        <w:gridCol w:w="9359"/>
      </w:tblGrid>
      <w:tr>
        <w:trPr>
          <w:trHeight w:val="340" w:hRule="atLeast"/>
          <w:cantSplit w:val="true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7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6"/>
        <w:gridCol w:w="1803"/>
        <w:gridCol w:w="140"/>
        <w:gridCol w:w="995"/>
        <w:gridCol w:w="1417"/>
        <w:gridCol w:w="1703"/>
        <w:gridCol w:w="3302"/>
      </w:tblGrid>
      <w:tr>
        <w:trPr>
          <w:trHeight w:val="340" w:hRule="atLeast"/>
          <w:cantSplit w:val="true"/>
        </w:trPr>
        <w:tc>
          <w:tcPr>
            <w:tcW w:w="9926" w:type="dxa"/>
            <w:gridSpan w:val="7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>
        <w:trPr>
          <w:trHeight w:val="224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>
        <w:trPr/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>
        <w:trPr>
          <w:trHeight w:val="195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  <w:bookmarkStart w:id="3" w:name="_Hlk224219699"/>
            <w:bookmarkStart w:id="4" w:name="_Hlk224219699"/>
          </w:p>
        </w:tc>
        <w:tc>
          <w:tcPr>
            <w:tcW w:w="19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obalu:</w:t>
            </w:r>
          </w:p>
        </w:tc>
        <w:tc>
          <w:tcPr>
            <w:tcW w:w="74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5" w:name="_Hlk152328068"/>
            <w:r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e-liquid příchutí/náplní</w:t>
            </w:r>
            <w:bookmarkEnd w:id="5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  <w:bookmarkEnd w:id="4"/>
          </w:p>
        </w:tc>
      </w:tr>
      <w:tr>
        <w:trPr>
          <w:trHeight w:val="195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>
        <w:trPr>
          <w:trHeight w:val="195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9926" w:type="dxa"/>
            <w:gridSpan w:val="7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>
              <w:bottom w:val="single" w:sz="4" w:space="0" w:color="000000"/>
            </w:tcBorders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Butylacetát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110-19-0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241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723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Glycerol, mlha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56-81-5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Kyselina octová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64-19-7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Kyselina propionová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79-09-4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Nikotin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54-11-5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0,5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2,5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D - při expozici se významně uplatňuje pronikání faktoru kůží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Pentylacetát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123-92-2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270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3-methyl-1-butanol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123-51-3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bookmarkStart w:id="6" w:name="RANGE!C210"/>
            <w:r>
              <w:rPr>
                <w:rFonts w:cs="Calibri" w:ascii="Verdana" w:hAnsi="Verdana"/>
                <w:sz w:val="16"/>
                <w:szCs w:val="16"/>
              </w:rPr>
              <w:t>Kyselina propionová</w:t>
            </w:r>
            <w:bookmarkEnd w:id="6"/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79-09-4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Izopenthylacetát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123-92-2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270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Nikotin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54-11-5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0,5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-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Dermal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Kyselina octová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64-19-7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Isobutylacetát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110-19-0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241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723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6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Isoamylalkohol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123-51-3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>
        <w:trPr>
          <w:trHeight w:val="206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6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>
        <w:trPr>
          <w:trHeight w:val="241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>
        <w:trPr>
          <w:trHeight w:val="338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>
            <w:pPr>
              <w:pStyle w:val="Zpat"/>
              <w:widowControl w:val="false"/>
              <w:spacing w:before="0" w:after="6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>
        <w:trPr>
          <w:trHeight w:val="317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>
            <w:pPr>
              <w:pStyle w:val="Normal"/>
              <w:widowControl w:val="false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8"/>
        <w:gridCol w:w="4753"/>
        <w:gridCol w:w="4605"/>
      </w:tblGrid>
      <w:tr>
        <w:trPr>
          <w:trHeight w:val="340" w:hRule="atLeast"/>
          <w:cantSplit w:val="true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>
        <w:trPr>
          <w:cantSplit w:val="true"/>
        </w:trPr>
        <w:tc>
          <w:tcPr>
            <w:tcW w:w="568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8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5 - 7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</w:rPr>
              <w:t>Hustota a/nebo relativní hustota: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1.14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3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8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8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>
        <w:trPr>
          <w:cantSplit w:val="true"/>
        </w:trPr>
        <w:tc>
          <w:tcPr>
            <w:tcW w:w="568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9358"/>
      </w:tblGrid>
      <w:tr>
        <w:trPr>
          <w:trHeight w:val="340" w:hRule="atLeast"/>
          <w:cantSplit w:val="true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10: Stálost a reaktivita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10.6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426"/>
        <w:gridCol w:w="8937"/>
      </w:tblGrid>
      <w:tr>
        <w:trPr>
          <w:trHeight w:val="340" w:hRule="atLeast"/>
          <w:cantSplit w:val="true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toxikologické údaje k dispozici.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adpis2"/>
              <w:widowControl w:val="false"/>
              <w:spacing w:before="80" w:after="0"/>
              <w:rPr>
                <w:rFonts w:ascii="Verdana" w:hAnsi="Verdana"/>
                <w:i w:val="false"/>
                <w:i w:val="false"/>
                <w:sz w:val="16"/>
                <w:szCs w:val="16"/>
              </w:rPr>
            </w:pPr>
            <w:r>
              <w:rPr>
                <w:rFonts w:ascii="Verdana" w:hAnsi="Verdana"/>
                <w:i w:val="false"/>
                <w:iCs w:val="false"/>
                <w:sz w:val="16"/>
                <w:szCs w:val="16"/>
              </w:rPr>
              <w:t>a)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adpis2"/>
              <w:widowControl w:val="false"/>
              <w:spacing w:before="80" w:after="0"/>
              <w:rPr>
                <w:rFonts w:ascii="Verdana" w:hAnsi="Verdana"/>
                <w:i w:val="false"/>
                <w:i w:val="false"/>
                <w:sz w:val="16"/>
                <w:szCs w:val="16"/>
              </w:rPr>
            </w:pPr>
            <w:r>
              <w:rPr>
                <w:rFonts w:ascii="Verdana" w:hAnsi="Verdana"/>
                <w:i w:val="false"/>
                <w:sz w:val="16"/>
                <w:szCs w:val="16"/>
              </w:rPr>
              <w:t>Akutní toxicita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8"/>
                <w:szCs w:val="8"/>
                <w:lang w:val="cs-CZ"/>
              </w:rPr>
            </w:pPr>
            <w:r>
              <w:rPr>
                <w:rFonts w:ascii="Verdana" w:hAnsi="Verdana"/>
                <w:sz w:val="8"/>
                <w:szCs w:val="8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Feellife Bioscience)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>
        <w:trPr>
          <w:trHeight w:val="21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</w:tcPr>
          <w:p>
            <w:pPr>
              <w:pStyle w:val="Normal"/>
              <w:widowControl w:val="false"/>
              <w:ind w:left="28" w:hanging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Způsobuje vážné podráždění očí.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9358"/>
      </w:tblGrid>
      <w:tr>
        <w:trPr>
          <w:trHeight w:val="340" w:hRule="atLeast"/>
          <w:cantSplit w:val="true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(Oncorhynchus mykiss, 96 h)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(Desmodesmus subspicatus, 72 h)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(Desmodesmus subspicatus, 72 h)</w:t>
            </w:r>
          </w:p>
        </w:tc>
      </w:tr>
      <w:tr>
        <w:trPr>
          <w:trHeight w:val="210" w:hRule="atLeast"/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(Daphnia magna, 48 h)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12.2</w:t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Biokoncentrace se nepředpokládá.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Výsledky posouzení PBT a vPvB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žádné látky, které jsou vyhodnoceny jako PBT nebo vPvB v koncentraci 0,1 % hmotnostních nebo vyšší.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endokrinní disruptory v koncentraci 0,1% hmotnostních nebo vyšší.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7"/>
        <w:gridCol w:w="244"/>
        <w:gridCol w:w="182"/>
        <w:gridCol w:w="2369"/>
        <w:gridCol w:w="6567"/>
      </w:tblGrid>
      <w:tr>
        <w:trPr>
          <w:trHeight w:val="340" w:hRule="atLeast"/>
          <w:cantSplit w:val="true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>
        <w:trPr>
          <w:trHeight w:val="243" w:hRule="atLeast"/>
          <w:cantSplit w:val="true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adpis3"/>
              <w:widowControl w:val="false"/>
              <w:spacing w:before="0" w:after="60"/>
              <w:jc w:val="both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>
        <w:trPr>
          <w:trHeight w:val="243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adpis3"/>
              <w:widowControl w:val="false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>
        <w:trPr>
          <w:trHeight w:val="242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>
        <w:trPr>
          <w:trHeight w:val="24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42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>
        <w:trPr>
          <w:trHeight w:val="242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4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5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jednorázový vaporizér</w:t>
            </w:r>
          </w:p>
        </w:tc>
      </w:tr>
      <w:tr>
        <w:trPr>
          <w:trHeight w:val="195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>
        <w:trPr>
          <w:trHeight w:val="195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44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551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</w:r>
          </w:p>
        </w:tc>
        <w:tc>
          <w:tcPr>
            <w:tcW w:w="8936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2268"/>
        <w:gridCol w:w="312"/>
        <w:gridCol w:w="2098"/>
        <w:gridCol w:w="2268"/>
        <w:gridCol w:w="2413"/>
      </w:tblGrid>
      <w:tr>
        <w:trPr>
          <w:trHeight w:val="340" w:hRule="atLeast"/>
          <w:cantSplit w:val="true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>
        <w:trPr>
          <w:trHeight w:val="80" w:hRule="atLeast"/>
          <w:cantSplit w:val="true"/>
        </w:trPr>
        <w:tc>
          <w:tcPr>
            <w:tcW w:w="9926" w:type="dxa"/>
            <w:gridSpan w:val="6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  <w:r>
              <w:rPr>
                <w:rFonts w:ascii="Verdana" w:hAnsi="Verdana"/>
                <w:sz w:val="8"/>
                <w:szCs w:val="8"/>
                <w:lang w:val="cs-CZ"/>
              </w:rPr>
            </w:r>
          </w:p>
        </w:tc>
      </w:tr>
      <w:tr>
        <w:trPr>
          <w:trHeight w:val="251" w:hRule="atLeast"/>
          <w:cantSplit w:val="true"/>
        </w:trPr>
        <w:tc>
          <w:tcPr>
            <w:tcW w:w="567" w:type="dxa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59" w:type="dxa"/>
            <w:gridSpan w:val="5"/>
            <w:tcBorders/>
            <w:vAlign w:val="center"/>
          </w:tcPr>
          <w:p>
            <w:pPr>
              <w:pStyle w:val="Nadpis6"/>
              <w:widowControl w:val="false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false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>
        <w:trPr>
          <w:trHeight w:val="248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79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DefaultText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79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79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tcMar>
              <w:right w:w="2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79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>
        <w:trPr>
          <w:trHeight w:val="248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413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>
        <w:trPr>
          <w:trHeight w:val="248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  <w:tcBorders/>
          </w:tcPr>
          <w:p>
            <w:pPr>
              <w:pStyle w:val="DefaultText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413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>
        <w:trPr>
          <w:trHeight w:val="248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413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2" name="image2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3" name="Obrázek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4" name="Obrázek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5" name="Obrázek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8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gridSpan w:val="5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9362"/>
      </w:tblGrid>
      <w:tr>
        <w:trPr>
          <w:trHeight w:val="340" w:hRule="atLeast"/>
          <w:cantSplit w:val="true"/>
        </w:trPr>
        <w:tc>
          <w:tcPr>
            <w:tcW w:w="9929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>
        <w:trPr>
          <w:trHeight w:val="237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15.1</w:t>
            </w:r>
          </w:p>
        </w:tc>
        <w:tc>
          <w:tcPr>
            <w:tcW w:w="9362" w:type="dxa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>
        <w:trPr>
          <w:trHeight w:val="23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>
        <w:trPr>
          <w:trHeight w:val="80" w:hRule="atLeast"/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Zhlav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37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2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>
        <w:trPr>
          <w:trHeight w:val="237" w:hRule="atLeast"/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8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072"/>
        <w:gridCol w:w="7855"/>
      </w:tblGrid>
      <w:tr>
        <w:trPr>
          <w:trHeight w:val="382" w:hRule="atLeast"/>
          <w:cantSplit w:val="true"/>
        </w:trPr>
        <w:tc>
          <w:tcPr>
            <w:tcW w:w="9927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rPr>
                <w:rFonts w:ascii="Calibri" w:hAnsi="Calibri" w:cs="Calibri"/>
                <w:b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 xml:space="preserve">Změny provedené v bezpečnostním listu v rámci revize: </w:t>
            </w:r>
            <w:r>
              <w:rPr>
                <w:rFonts w:cs="Calibri" w:ascii="Verdana" w:hAnsi="Verdana"/>
                <w:sz w:val="16"/>
                <w:szCs w:val="16"/>
              </w:rPr>
              <w:t xml:space="preserve"> -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</w:tcPr>
          <w:p>
            <w:pPr>
              <w:pStyle w:val="NormalTab1"/>
              <w:widowControl w:val="false"/>
              <w:rPr>
                <w:rFonts w:ascii="Calibri" w:hAnsi="Calibri" w:cs="Calibri"/>
                <w:b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Kompletní znění všech klasifikací a tříd nebezpečnosti uvedených v oddíle 3: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Tab1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2 - Akutní toxicita,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4 - Akutní toxicita, kategorie 4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Aquatic Chronic 2 - Nebezpečný pro vodní prostředí - chronicky, kategorie 2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Aquatic Chronic 3 - Nebezpečný pro vodní prostředí - chronicky, kategorie 3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Eye Dam. 1 - Vážné poškození očí, kategorie 1</w:t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Eye Irrit. 2 - Podráždění očí,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Flam. Liq. 2 - Hořlavé kapaliny,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Flam. Liq. 3 - Hořlavé kapaliny, kategorie 3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Corr. 1A - Žíravost pro kůži, kategorie 1A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Corr. 1B - Žíravost pro kůži, kategorie 1B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Corr. 1C - Žíravost pro kůži, kategorie 1C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Irrit. 2 - Dráždivost pro kůži,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Sens. 1B - Senzibilizace kůže, kategorie 1B</w:t>
              <w:tab/>
              <w:tab/>
              <w:tab/>
              <w:tab/>
              <w:tab/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Tab1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 věty a EUH věty:</w:t>
            </w:r>
          </w:p>
        </w:tc>
        <w:tc>
          <w:tcPr>
            <w:tcW w:w="785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H302/312 Zdraví škodlivý při požití a při styku s kůží.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H332 Zdraví škodlivý při vdechování.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H336 Může způsobit ospalost nebo závratě.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7" w:name="_Hlk184910629"/>
            <w:r>
              <w:rPr>
                <w:rFonts w:ascii="Verdana" w:hAnsi="Verdana"/>
                <w:sz w:val="16"/>
                <w:szCs w:val="16"/>
                <w:lang w:val="cs-CZ"/>
              </w:rPr>
              <w:t>EUH066 Opakovaná expozice může způsobit vysušení nebo popraskání kůže.</w:t>
              <w:tab/>
              <w:tab/>
            </w:r>
            <w:bookmarkEnd w:id="7"/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ab/>
              <w:tab/>
              <w:tab/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</w:tcPr>
          <w:p>
            <w:pPr>
              <w:pStyle w:val="NormalTab1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Chemical Abstracts Service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(derived no-effect level)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(effect concentration for 50%)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EINECS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European Inventory of Existing Commercial Chemical Substances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(lethal concentration for 50%)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(lethal dose for 50%)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Occupational Exposure Limit (limit expozice na pracovišti - 8 hod./směna)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Perzistentní, bioakumulativní, toxický (persistent, bioacumulative, toxic)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(predicted no-effect concentration)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(specific concentration limit)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5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(Short Term Exposure Limit)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5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(volatile organic compounds)</w:t>
            </w:r>
          </w:p>
        </w:tc>
      </w:tr>
      <w:tr>
        <w:trPr>
          <w:trHeight w:val="243" w:hRule="atLeast"/>
          <w:cantSplit w:val="true"/>
        </w:trPr>
        <w:tc>
          <w:tcPr>
            <w:tcW w:w="2072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vPvB</w:t>
            </w:r>
          </w:p>
        </w:tc>
        <w:tc>
          <w:tcPr>
            <w:tcW w:w="7855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Vysoce perzistentní a vysoce bioakumulativní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metodou. Byly použity informace o klasifikaci jednotlivých složek směsi – harmonizovaná klasifikace, případně doplněná o údaje z registrační dokumentace.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>
            <w:pPr>
              <w:pStyle w:val="NormalTab1"/>
              <w:widowControl w:val="false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/>
      </w:r>
    </w:p>
    <w:sectPr>
      <w:headerReference w:type="even" r:id="rId8"/>
      <w:headerReference w:type="default" r:id="rId9"/>
      <w:headerReference w:type="first" r:id="rId10"/>
      <w:footerReference w:type="default" r:id="rId11"/>
      <w:type w:val="nextPage"/>
      <w:pgSz w:w="11906" w:h="16838"/>
      <w:pgMar w:left="1021" w:right="1021" w:gutter="0" w:header="567" w:top="1191" w:footer="567" w:bottom="1021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tabs>
        <w:tab w:val="clear" w:pos="9072"/>
        <w:tab w:val="center" w:pos="4536" w:leader="none"/>
        <w:tab w:val="right" w:pos="9639" w:leader="none"/>
      </w:tabs>
      <w:rPr>
        <w:rFonts w:ascii="Verdana" w:hAnsi="Verdana"/>
        <w:sz w:val="16"/>
        <w:szCs w:val="16"/>
      </w:rPr>
    </w:pPr>
    <w:r>
      <w:rPr>
        <w:rStyle w:val="Pagenumber"/>
        <w:lang w:val="cs-CZ"/>
      </w:rPr>
      <w:tab/>
      <w:tab/>
    </w:r>
    <w:r>
      <w:rPr>
        <w:rStyle w:val="Pagenumber"/>
        <w:rFonts w:ascii="Verdana" w:hAnsi="Verdana"/>
        <w:sz w:val="16"/>
        <w:szCs w:val="16"/>
        <w:lang w:val="cs-CZ"/>
      </w:rPr>
      <w:t xml:space="preserve">strana </w:t>
    </w:r>
    <w:r>
      <w:rPr>
        <w:rStyle w:val="Pagenumber"/>
        <w:rFonts w:ascii="Verdana" w:hAnsi="Verdana"/>
        <w:sz w:val="16"/>
        <w:szCs w:val="16"/>
        <w:lang w:val="cs-CZ"/>
      </w:rPr>
      <w:fldChar w:fldCharType="begin"/>
    </w:r>
    <w:r>
      <w:rPr>
        <w:rStyle w:val="Pagenumber"/>
        <w:sz w:val="16"/>
        <w:szCs w:val="16"/>
        <w:rFonts w:ascii="Verdana" w:hAnsi="Verdana"/>
        <w:lang w:val="cs-CZ"/>
      </w:rPr>
      <w:instrText xml:space="preserve"> PAGE </w:instrText>
    </w:r>
    <w:r>
      <w:rPr>
        <w:rStyle w:val="Pagenumber"/>
        <w:sz w:val="16"/>
        <w:szCs w:val="16"/>
        <w:rFonts w:ascii="Verdana" w:hAnsi="Verdana"/>
        <w:lang w:val="cs-CZ"/>
      </w:rPr>
      <w:fldChar w:fldCharType="separate"/>
    </w:r>
    <w:r>
      <w:rPr>
        <w:rStyle w:val="Pagenumber"/>
        <w:sz w:val="16"/>
        <w:szCs w:val="16"/>
        <w:rFonts w:ascii="Verdana" w:hAnsi="Verdana"/>
        <w:lang w:val="cs-CZ"/>
      </w:rPr>
      <w:t>10</w:t>
    </w:r>
    <w:r>
      <w:rPr>
        <w:rStyle w:val="Pagenumber"/>
        <w:sz w:val="16"/>
        <w:szCs w:val="16"/>
        <w:rFonts w:ascii="Verdana" w:hAnsi="Verdana"/>
        <w:lang w:val="cs-CZ"/>
      </w:rPr>
      <w:fldChar w:fldCharType="end"/>
    </w:r>
    <w:r>
      <w:rPr>
        <w:rStyle w:val="Pagenumber"/>
        <w:rFonts w:ascii="Verdana" w:hAnsi="Verdana"/>
        <w:sz w:val="16"/>
        <w:szCs w:val="16"/>
        <w:lang w:val="cs-CZ"/>
      </w:rPr>
      <w:t xml:space="preserve"> / </w:t>
    </w:r>
    <w:r>
      <w:rPr>
        <w:rStyle w:val="Pagenumber"/>
        <w:rFonts w:ascii="Verdana" w:hAnsi="Verdana"/>
        <w:sz w:val="16"/>
        <w:szCs w:val="16"/>
        <w:lang w:val="cs-CZ"/>
      </w:rPr>
      <w:fldChar w:fldCharType="begin"/>
    </w:r>
    <w:r>
      <w:rPr>
        <w:rStyle w:val="Pagenumber"/>
        <w:sz w:val="16"/>
        <w:szCs w:val="16"/>
        <w:rFonts w:ascii="Verdana" w:hAnsi="Verdana"/>
        <w:lang w:val="cs-CZ"/>
      </w:rPr>
      <w:instrText xml:space="preserve"> NUMPAGES </w:instrText>
    </w:r>
    <w:r>
      <w:rPr>
        <w:rStyle w:val="Pagenumber"/>
        <w:sz w:val="16"/>
        <w:szCs w:val="16"/>
        <w:rFonts w:ascii="Verdana" w:hAnsi="Verdana"/>
        <w:lang w:val="cs-CZ"/>
      </w:rPr>
      <w:fldChar w:fldCharType="separate"/>
    </w:r>
    <w:r>
      <w:rPr>
        <w:rStyle w:val="Pagenumber"/>
        <w:sz w:val="16"/>
        <w:szCs w:val="16"/>
        <w:rFonts w:ascii="Verdana" w:hAnsi="Verdana"/>
        <w:lang w:val="cs-CZ"/>
      </w:rPr>
      <w:t>10</w:t>
    </w:r>
    <w:r>
      <w:rPr>
        <w:rStyle w:val="Pagenumber"/>
        <w:sz w:val="16"/>
        <w:szCs w:val="16"/>
        <w:rFonts w:ascii="Verdana" w:hAnsi="Verdana"/>
        <w:lang w:val="cs-CZ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ind w:right="360" w:hanging="0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6" wp14:anchorId="75EE91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hlav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5EE913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hlav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23" w:type="dxa"/>
      <w:jc w:val="left"/>
      <w:tblInd w:w="8" w:type="dxa"/>
      <w:tblLayout w:type="fixed"/>
      <w:tblCellMar>
        <w:top w:w="0" w:type="dxa"/>
        <w:left w:w="7" w:type="dxa"/>
        <w:bottom w:w="0" w:type="dxa"/>
        <w:right w:w="7" w:type="dxa"/>
      </w:tblCellMar>
      <w:tblLook w:firstRow="1" w:noVBand="0" w:lastRow="1" w:firstColumn="1" w:lastColumn="1" w:noHBand="0" w:val="01e0"/>
    </w:tblPr>
    <w:tblGrid>
      <w:gridCol w:w="2099"/>
      <w:gridCol w:w="2704"/>
      <w:gridCol w:w="2354"/>
      <w:gridCol w:w="2765"/>
    </w:tblGrid>
    <w:tr>
      <w:trPr>
        <w:trHeight w:val="991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03" w:after="0"/>
            <w:ind w:left="2487" w:right="2456" w:hanging="0"/>
            <w:jc w:val="center"/>
            <w:rPr>
              <w:b/>
              <w:b/>
              <w:sz w:val="28"/>
              <w:lang w:val="cs-CZ"/>
            </w:rPr>
          </w:pPr>
          <w:r>
            <w:rPr>
              <w:b/>
              <w:kern w:val="0"/>
              <w:sz w:val="28"/>
              <w:lang w:val="cs-CZ" w:bidi="ar-SA"/>
            </w:rPr>
            <w:t>BEZPEČNOSTNÍ LIST</w:t>
          </w:r>
        </w:p>
        <w:p>
          <w:pPr>
            <w:pStyle w:val="TableParagraph"/>
            <w:widowControl w:val="false"/>
            <w:suppressAutoHyphens w:val="true"/>
            <w:spacing w:before="122" w:after="0"/>
            <w:ind w:left="2268" w:right="2126" w:hanging="0"/>
            <w:jc w:val="center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podle nařízení Evropského parlamentu a</w:t>
          </w:r>
          <w:r>
            <w:rPr>
              <w:spacing w:val="11"/>
              <w:kern w:val="0"/>
              <w:sz w:val="16"/>
              <w:lang w:val="cs-CZ" w:bidi="ar-SA"/>
            </w:rPr>
            <w:t xml:space="preserve"> </w:t>
          </w:r>
          <w:r>
            <w:rPr>
              <w:kern w:val="0"/>
              <w:sz w:val="16"/>
              <w:lang w:val="cs-CZ" w:bidi="ar-SA"/>
            </w:rPr>
            <w:t>Rady (ES) č. 1907/2006 (REACH) v platném znění</w:t>
          </w:r>
        </w:p>
      </w:tc>
    </w:tr>
    <w:tr>
      <w:trPr>
        <w:trHeight w:val="719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b/>
              <w:b/>
              <w:bCs/>
              <w:sz w:val="24"/>
              <w:szCs w:val="24"/>
              <w:lang w:val="cs-CZ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 xml:space="preserve">Relx Ultra Pod 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>Blueberry Sour Raspberry</w:t>
          </w:r>
        </w:p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b/>
              <w:b/>
              <w:bCs/>
              <w:sz w:val="24"/>
              <w:szCs w:val="24"/>
              <w:lang w:val="cs-CZ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>Relx Ultra Pro KIT Black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>,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 xml:space="preserve"> Relx Ultra KIT Purple</w:t>
          </w:r>
        </w:p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left"/>
            <w:rPr>
              <w:sz w:val="24"/>
              <w:szCs w:val="24"/>
              <w:shd w:fill="FFFF00" w:val="clear"/>
            </w:rPr>
          </w:pPr>
          <w:r>
            <w:rPr>
              <w:sz w:val="24"/>
              <w:szCs w:val="24"/>
              <w:shd w:fill="FFFF00" w:val="clear"/>
            </w:rPr>
          </w:r>
        </w:p>
      </w:tc>
    </w:tr>
    <w:tr>
      <w:trPr>
        <w:trHeight w:val="471" w:hRule="exact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28" w:right="578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19.3.2026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  <w:tc>
        <w:tcPr>
          <w:tcW w:w="235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780" w:right="63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Číslo verze</w:t>
          </w:r>
        </w:p>
      </w:tc>
      <w:tc>
        <w:tcPr>
          <w:tcW w:w="2765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</w:tr>
  </w:tbl>
  <w:p>
    <w:pPr>
      <w:pStyle w:val="Zhlav"/>
      <w:rPr>
        <w:sz w:val="16"/>
        <w:lang w:val="de-DE"/>
      </w:rPr>
    </w:pPr>
    <w:r>
      <w:rPr>
        <w:sz w:val="16"/>
        <w:lang w:val="de-D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23" w:type="dxa"/>
      <w:jc w:val="left"/>
      <w:tblInd w:w="8" w:type="dxa"/>
      <w:tblLayout w:type="fixed"/>
      <w:tblCellMar>
        <w:top w:w="0" w:type="dxa"/>
        <w:left w:w="7" w:type="dxa"/>
        <w:bottom w:w="0" w:type="dxa"/>
        <w:right w:w="7" w:type="dxa"/>
      </w:tblCellMar>
      <w:tblLook w:firstRow="1" w:noVBand="0" w:lastRow="1" w:firstColumn="1" w:lastColumn="1" w:noHBand="0" w:val="01e0"/>
    </w:tblPr>
    <w:tblGrid>
      <w:gridCol w:w="2099"/>
      <w:gridCol w:w="2704"/>
      <w:gridCol w:w="2354"/>
      <w:gridCol w:w="2765"/>
    </w:tblGrid>
    <w:tr>
      <w:trPr>
        <w:trHeight w:val="991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03" w:after="0"/>
            <w:ind w:left="2487" w:right="2456" w:hanging="0"/>
            <w:jc w:val="center"/>
            <w:rPr>
              <w:b/>
              <w:b/>
              <w:sz w:val="28"/>
              <w:lang w:val="cs-CZ"/>
            </w:rPr>
          </w:pPr>
          <w:r>
            <w:rPr>
              <w:b/>
              <w:kern w:val="0"/>
              <w:sz w:val="28"/>
              <w:lang w:val="cs-CZ" w:bidi="ar-SA"/>
            </w:rPr>
            <w:t>BEZPEČNOSTNÍ LIST</w:t>
          </w:r>
        </w:p>
        <w:p>
          <w:pPr>
            <w:pStyle w:val="TableParagraph"/>
            <w:widowControl w:val="false"/>
            <w:suppressAutoHyphens w:val="true"/>
            <w:spacing w:before="122" w:after="0"/>
            <w:ind w:left="2268" w:right="2126" w:hanging="0"/>
            <w:jc w:val="center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podle nařízení Evropského parlamentu a</w:t>
          </w:r>
          <w:r>
            <w:rPr>
              <w:spacing w:val="11"/>
              <w:kern w:val="0"/>
              <w:sz w:val="16"/>
              <w:lang w:val="cs-CZ" w:bidi="ar-SA"/>
            </w:rPr>
            <w:t xml:space="preserve"> </w:t>
          </w:r>
          <w:r>
            <w:rPr>
              <w:kern w:val="0"/>
              <w:sz w:val="16"/>
              <w:lang w:val="cs-CZ" w:bidi="ar-SA"/>
            </w:rPr>
            <w:t>Rady (ES) č. 1907/2006 (REACH) v platném znění</w:t>
          </w:r>
        </w:p>
      </w:tc>
    </w:tr>
    <w:tr>
      <w:trPr>
        <w:trHeight w:val="719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b/>
              <w:b/>
              <w:bCs/>
              <w:sz w:val="24"/>
              <w:szCs w:val="24"/>
              <w:lang w:val="cs-CZ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 xml:space="preserve">Relx Ultra Pod 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>Blueberry Sour Raspberry</w:t>
          </w:r>
        </w:p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b/>
              <w:b/>
              <w:bCs/>
              <w:sz w:val="24"/>
              <w:szCs w:val="24"/>
              <w:lang w:val="cs-CZ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>Relx Ultra Pro KIT Black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>,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 xml:space="preserve"> Relx Ultra KIT Purple</w:t>
          </w:r>
        </w:p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left"/>
            <w:rPr>
              <w:sz w:val="24"/>
              <w:szCs w:val="24"/>
              <w:shd w:fill="FFFF00" w:val="clear"/>
            </w:rPr>
          </w:pPr>
          <w:r>
            <w:rPr>
              <w:sz w:val="24"/>
              <w:szCs w:val="24"/>
              <w:shd w:fill="FFFF00" w:val="clear"/>
            </w:rPr>
          </w:r>
        </w:p>
      </w:tc>
    </w:tr>
    <w:tr>
      <w:trPr>
        <w:trHeight w:val="471" w:hRule="exact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28" w:right="578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19.3.2026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  <w:tc>
        <w:tcPr>
          <w:tcW w:w="235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780" w:right="63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Číslo verze</w:t>
          </w:r>
        </w:p>
      </w:tc>
      <w:tc>
        <w:tcPr>
          <w:tcW w:w="2765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</w:tr>
  </w:tbl>
  <w:p>
    <w:pPr>
      <w:pStyle w:val="Zhlav"/>
      <w:rPr>
        <w:sz w:val="16"/>
        <w:lang w:val="de-DE"/>
      </w:rPr>
    </w:pPr>
    <w:r>
      <w:rPr>
        <w:sz w:val="16"/>
        <w:lang w:val="de-DE"/>
      </w:rPr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cs-CZ" w:bidi="ar-SA"/>
    </w:rPr>
  </w:style>
  <w:style w:type="paragraph" w:styleId="Nadpis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al"/>
    <w:next w:val="Normal"/>
    <w:qFormat/>
    <w:pPr>
      <w:keepNext w:val="true"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al"/>
    <w:next w:val="Normal"/>
    <w:qFormat/>
    <w:pPr>
      <w:keepNext w:val="true"/>
      <w:spacing w:before="60" w:after="0"/>
      <w:outlineLvl w:val="2"/>
    </w:pPr>
    <w:rPr>
      <w:b/>
      <w:bCs/>
      <w:lang w:val="cs-CZ"/>
    </w:rPr>
  </w:style>
  <w:style w:type="paragraph" w:styleId="Nadpis4">
    <w:name w:val="Heading 4"/>
    <w:basedOn w:val="Normal"/>
    <w:next w:val="Normal"/>
    <w:qFormat/>
    <w:pPr>
      <w:keepNext w:val="true"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al"/>
    <w:next w:val="Normal"/>
    <w:qFormat/>
    <w:pPr>
      <w:keepNext w:val="true"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al"/>
    <w:next w:val="Normal"/>
    <w:qFormat/>
    <w:pPr>
      <w:keepNext w:val="true"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al"/>
    <w:next w:val="Normal"/>
    <w:qFormat/>
    <w:pPr>
      <w:keepNext w:val="true"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al"/>
    <w:next w:val="Normal"/>
    <w:qFormat/>
    <w:pPr>
      <w:keepNext w:val="true"/>
      <w:outlineLvl w:val="7"/>
    </w:pPr>
    <w:rPr>
      <w:b/>
      <w:bCs/>
      <w:sz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semiHidden/>
    <w:qFormat/>
    <w:rPr/>
  </w:style>
  <w:style w:type="character" w:styleId="Internetovodkaz">
    <w:name w:val="Hyperlink"/>
    <w:semiHidden/>
    <w:rPr>
      <w:color w:val="0000FF"/>
      <w:u w:val="single"/>
    </w:rPr>
  </w:style>
  <w:style w:type="character" w:styleId="ZpatChar" w:customStyle="1">
    <w:name w:val="Zápatí Char"/>
    <w:qFormat/>
    <w:rsid w:val="00d5499d"/>
    <w:rPr>
      <w:lang w:val="en-US"/>
    </w:rPr>
  </w:style>
  <w:style w:type="character" w:styleId="Strong">
    <w:name w:val="Strong"/>
    <w:uiPriority w:val="22"/>
    <w:qFormat/>
    <w:rsid w:val="00814291"/>
    <w:rPr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552e5"/>
    <w:rPr>
      <w:color w:val="605E5C"/>
      <w:shd w:fill="E1DFDD" w:val="clear"/>
    </w:rPr>
  </w:style>
  <w:style w:type="paragraph" w:styleId="Nadpis" w:customStyle="1">
    <w:name w:val="Nadpis"/>
    <w:basedOn w:val="Normal"/>
    <w:next w:val="Tlotextu"/>
    <w:qFormat/>
    <w:pPr>
      <w:keepNext w:val="true"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Tlotextu">
    <w:name w:val="Body Text"/>
    <w:basedOn w:val="Normal"/>
    <w:uiPriority w:val="1"/>
    <w:qFormat/>
    <w:pPr/>
    <w:rPr>
      <w:sz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Zhlavazpat" w:customStyle="1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naka" w:customStyle="1">
    <w:name w:val="Znaèka"/>
    <w:basedOn w:val="Normal"/>
    <w:qFormat/>
    <w:pPr/>
    <w:rPr>
      <w:sz w:val="24"/>
    </w:rPr>
  </w:style>
  <w:style w:type="paragraph" w:styleId="Texttabulky" w:customStyle="1">
    <w:name w:val="Text tabulky"/>
    <w:basedOn w:val="Normal"/>
    <w:qFormat/>
    <w:pPr>
      <w:tabs>
        <w:tab w:val="clear" w:pos="709"/>
        <w:tab w:val="left" w:pos="450" w:leader="none"/>
        <w:tab w:val="left" w:pos="5685" w:leader="none"/>
        <w:tab w:val="left" w:pos="6840" w:leader="none"/>
        <w:tab w:val="left" w:pos="7980" w:leader="none"/>
        <w:tab w:val="left" w:pos="9105" w:leader="none"/>
      </w:tabs>
      <w:jc w:val="both"/>
    </w:pPr>
    <w:rPr>
      <w:sz w:val="18"/>
    </w:rPr>
  </w:style>
  <w:style w:type="paragraph" w:styleId="Pata" w:customStyle="1">
    <w:name w:val="Pata"/>
    <w:basedOn w:val="Normal"/>
    <w:qFormat/>
    <w:pPr/>
    <w:rPr>
      <w:sz w:val="24"/>
    </w:rPr>
  </w:style>
  <w:style w:type="paragraph" w:styleId="Zhlav">
    <w:name w:val="Header"/>
    <w:basedOn w:val="Normal"/>
    <w:semiHidden/>
    <w:pPr/>
    <w:rPr>
      <w:sz w:val="24"/>
    </w:rPr>
  </w:style>
  <w:style w:type="paragraph" w:styleId="Podnadpis1" w:customStyle="1">
    <w:name w:val="Podnadpis1"/>
    <w:basedOn w:val="Normal"/>
    <w:qFormat/>
    <w:pPr>
      <w:spacing w:before="72" w:after="72"/>
    </w:pPr>
    <w:rPr>
      <w:b/>
      <w:i/>
      <w:sz w:val="24"/>
    </w:rPr>
  </w:style>
  <w:style w:type="paragraph" w:styleId="Sloseznamu" w:customStyle="1">
    <w:name w:val="Èíslo seznamu"/>
    <w:basedOn w:val="Normal"/>
    <w:qFormat/>
    <w:pPr/>
    <w:rPr>
      <w:sz w:val="24"/>
    </w:rPr>
  </w:style>
  <w:style w:type="paragraph" w:styleId="Znaka1" w:customStyle="1">
    <w:name w:val="Znaèka 1"/>
    <w:basedOn w:val="Normal"/>
    <w:qFormat/>
    <w:pPr/>
    <w:rPr>
      <w:sz w:val="24"/>
    </w:rPr>
  </w:style>
  <w:style w:type="paragraph" w:styleId="Dka" w:customStyle="1">
    <w:name w:val="Øádka"/>
    <w:basedOn w:val="Normal"/>
    <w:qFormat/>
    <w:pPr/>
    <w:rPr>
      <w:sz w:val="24"/>
    </w:rPr>
  </w:style>
  <w:style w:type="paragraph" w:styleId="Zvr" w:customStyle="1">
    <w:name w:val="závìr"/>
    <w:basedOn w:val="Normal"/>
    <w:qFormat/>
    <w:pPr>
      <w:jc w:val="both"/>
    </w:pPr>
    <w:rPr/>
  </w:style>
  <w:style w:type="paragraph" w:styleId="Nadpisy" w:customStyle="1">
    <w:name w:val="nadpisy"/>
    <w:basedOn w:val="Normal"/>
    <w:qFormat/>
    <w:pPr>
      <w:spacing w:before="0" w:after="60"/>
      <w:jc w:val="both"/>
    </w:pPr>
    <w:rPr>
      <w:rFonts w:ascii="Arial" w:hAnsi="Arial"/>
      <w:b/>
      <w:sz w:val="18"/>
      <w:lang w:val="cs-CZ"/>
    </w:rPr>
  </w:style>
  <w:style w:type="paragraph" w:styleId="DefaultText" w:customStyle="1">
    <w:name w:val="Default Text"/>
    <w:basedOn w:val="Normal"/>
    <w:qFormat/>
    <w:pPr/>
    <w:rPr>
      <w:sz w:val="18"/>
    </w:rPr>
  </w:style>
  <w:style w:type="paragraph" w:styleId="Adresa" w:customStyle="1">
    <w:name w:val="adresa"/>
    <w:basedOn w:val="DefaultText"/>
    <w:qFormat/>
    <w:pPr>
      <w:jc w:val="center"/>
    </w:pPr>
    <w:rPr>
      <w:sz w:val="22"/>
    </w:rPr>
  </w:style>
  <w:style w:type="paragraph" w:styleId="Textlatky" w:customStyle="1">
    <w:name w:val="text latky"/>
    <w:basedOn w:val="Nadpisy"/>
    <w:qFormat/>
    <w:pPr>
      <w:spacing w:before="40" w:after="40"/>
    </w:pPr>
    <w:rPr>
      <w:rFonts w:ascii="Times New Roman" w:hAnsi="Times New Roman"/>
      <w:b w:val="false"/>
    </w:rPr>
  </w:style>
  <w:style w:type="paragraph" w:styleId="MolecularFormula" w:customStyle="1">
    <w:name w:val="Molecular Formula"/>
    <w:basedOn w:val="DefaultText"/>
    <w:qFormat/>
    <w:pPr/>
    <w:rPr>
      <w:sz w:val="20"/>
    </w:rPr>
  </w:style>
  <w:style w:type="paragraph" w:styleId="Normaltab" w:customStyle="1">
    <w:name w:val="Normaltab"/>
    <w:basedOn w:val="Normal"/>
    <w:qFormat/>
    <w:pPr/>
    <w:rPr>
      <w:lang w:val="cs-CZ" w:eastAsia="en-US"/>
    </w:rPr>
  </w:style>
  <w:style w:type="paragraph" w:styleId="NormalTab1" w:customStyle="1">
    <w:name w:val="NormalTab"/>
    <w:basedOn w:val="Normal"/>
    <w:qFormat/>
    <w:pPr>
      <w:textAlignment w:val="baseline"/>
    </w:pPr>
    <w:rPr>
      <w:lang w:val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07220"/>
    <w:pPr/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707220"/>
    <w:pPr>
      <w:widowControl w:val="false"/>
      <w:ind w:left="56" w:hanging="0"/>
    </w:pPr>
    <w:rPr>
      <w:rFonts w:ascii="Verdana" w:hAnsi="Verdana" w:eastAsia="Verdana" w:cs="Verdana"/>
      <w:sz w:val="22"/>
      <w:szCs w:val="22"/>
      <w:lang w:eastAsia="en-US"/>
    </w:rPr>
  </w:style>
  <w:style w:type="paragraph" w:styleId="Obsahrmce" w:customStyle="1">
    <w:name w:val="Obsah rámce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9d4e4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4ages.cz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image" Target="media/image2.jpeg"/><Relationship Id="rId6" Type="http://schemas.openxmlformats.org/officeDocument/2006/relationships/image" Target="media/image2.jpeg"/><Relationship Id="rId7" Type="http://schemas.openxmlformats.org/officeDocument/2006/relationships/image" Target="media/image2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Application>LibreOffice/7.4.3.2$Windows_X86_64 LibreOffice_project/1048a8393ae2eeec98dff31b5c133c5f1d08b890</Application>
  <AppVersion>15.0000</AppVersion>
  <Pages>10</Pages>
  <Words>3525</Words>
  <Characters>21023</Characters>
  <CharactersWithSpaces>24067</CharactersWithSpaces>
  <Paragraphs>656</Paragraphs>
  <Company>VUOS a.s.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2026-03-12T13:03:00Z</dcterms:created>
  <dc:creator>Martin Kaska</dc:creator>
  <dc:description/>
  <dc:language>cs-CZ</dc:language>
  <cp:lastModifiedBy/>
  <cp:lastPrinted>2024-01-29T14:28:00Z</cp:lastPrinted>
  <dcterms:modified xsi:type="dcterms:W3CDTF">2026-06-18T12:38:12Z</dcterms:modified>
  <cp:revision>19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